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BE27EF" w14:textId="77777777" w:rsidR="00A6318D" w:rsidRDefault="00A6318D">
      <w:pPr>
        <w:pStyle w:val="Corpsdetexte"/>
        <w:rPr>
          <w:rFonts w:ascii="Times New Roman"/>
          <w:sz w:val="20"/>
        </w:rPr>
      </w:pPr>
    </w:p>
    <w:p w14:paraId="0B0EC9FA" w14:textId="77777777" w:rsidR="00A6318D" w:rsidRDefault="00A6318D">
      <w:pPr>
        <w:pStyle w:val="Corpsdetexte"/>
        <w:spacing w:before="3"/>
        <w:rPr>
          <w:rFonts w:ascii="Times New Roman"/>
          <w:sz w:val="23"/>
        </w:rPr>
      </w:pPr>
    </w:p>
    <w:p w14:paraId="5167409B" w14:textId="50D3607A" w:rsidR="00A6318D" w:rsidRDefault="008F1444">
      <w:pPr>
        <w:pStyle w:val="Titre"/>
      </w:pPr>
      <w:r>
        <w:rPr>
          <w:spacing w:val="-12"/>
        </w:rPr>
        <w:t xml:space="preserve">NOTRE </w:t>
      </w:r>
      <w:r>
        <w:rPr>
          <w:spacing w:val="-1"/>
        </w:rPr>
        <w:t>POLITIQUE</w:t>
      </w:r>
      <w:r>
        <w:rPr>
          <w:spacing w:val="-12"/>
        </w:rPr>
        <w:t xml:space="preserve"> </w:t>
      </w:r>
      <w:r w:rsidR="0040292B">
        <w:t>ESG</w:t>
      </w:r>
      <w:r w:rsidR="0040292B">
        <w:rPr>
          <w:spacing w:val="-12"/>
        </w:rPr>
        <w:t xml:space="preserve"> </w:t>
      </w:r>
    </w:p>
    <w:p w14:paraId="01264A69" w14:textId="77777777" w:rsidR="00A6318D" w:rsidRDefault="00A6318D">
      <w:pPr>
        <w:pStyle w:val="Corpsdetexte"/>
        <w:rPr>
          <w:sz w:val="20"/>
        </w:rPr>
      </w:pPr>
    </w:p>
    <w:p w14:paraId="3501584A" w14:textId="77777777" w:rsidR="00A6318D" w:rsidRDefault="00A6318D">
      <w:pPr>
        <w:pStyle w:val="Corpsdetexte"/>
        <w:spacing w:before="5"/>
        <w:rPr>
          <w:sz w:val="27"/>
        </w:rPr>
      </w:pPr>
    </w:p>
    <w:p w14:paraId="0FA4E6EE" w14:textId="77777777" w:rsidR="00A6318D" w:rsidRDefault="0040292B">
      <w:pPr>
        <w:pStyle w:val="Paragraphedeliste"/>
        <w:numPr>
          <w:ilvl w:val="0"/>
          <w:numId w:val="3"/>
        </w:numPr>
        <w:tabs>
          <w:tab w:val="left" w:pos="823"/>
          <w:tab w:val="left" w:pos="824"/>
        </w:tabs>
        <w:spacing w:before="56"/>
        <w:ind w:hanging="709"/>
        <w:jc w:val="left"/>
      </w:pPr>
      <w:r>
        <w:rPr>
          <w:color w:val="1B536B"/>
          <w:spacing w:val="-1"/>
          <w:u w:val="single" w:color="1B536B"/>
        </w:rPr>
        <w:t>Contexte</w:t>
      </w:r>
      <w:r>
        <w:rPr>
          <w:color w:val="1B536B"/>
          <w:spacing w:val="-12"/>
          <w:u w:val="single" w:color="1B536B"/>
        </w:rPr>
        <w:t xml:space="preserve"> </w:t>
      </w:r>
      <w:r>
        <w:rPr>
          <w:color w:val="1B536B"/>
          <w:spacing w:val="-1"/>
          <w:u w:val="single" w:color="1B536B"/>
        </w:rPr>
        <w:t>et</w:t>
      </w:r>
      <w:r>
        <w:rPr>
          <w:color w:val="1B536B"/>
          <w:spacing w:val="-8"/>
          <w:u w:val="single" w:color="1B536B"/>
        </w:rPr>
        <w:t xml:space="preserve"> </w:t>
      </w:r>
      <w:r>
        <w:rPr>
          <w:color w:val="1B536B"/>
          <w:u w:val="single" w:color="1B536B"/>
        </w:rPr>
        <w:t>objectifs</w:t>
      </w:r>
    </w:p>
    <w:p w14:paraId="443BE17C" w14:textId="77777777" w:rsidR="00A6318D" w:rsidRDefault="00A6318D">
      <w:pPr>
        <w:pStyle w:val="Corpsdetexte"/>
        <w:rPr>
          <w:sz w:val="20"/>
        </w:rPr>
      </w:pPr>
    </w:p>
    <w:p w14:paraId="252654D9" w14:textId="3FC5AF12" w:rsidR="00A6318D" w:rsidRDefault="0040292B">
      <w:pPr>
        <w:pStyle w:val="Corpsdetexte"/>
        <w:spacing w:before="160" w:line="259" w:lineRule="auto"/>
        <w:ind w:left="115" w:right="112"/>
        <w:jc w:val="both"/>
      </w:pPr>
      <w:r>
        <w:t>En</w:t>
      </w:r>
      <w:r>
        <w:rPr>
          <w:spacing w:val="-6"/>
        </w:rPr>
        <w:t xml:space="preserve"> </w:t>
      </w:r>
      <w:r>
        <w:t>application</w:t>
      </w:r>
      <w:r>
        <w:rPr>
          <w:spacing w:val="-7"/>
        </w:rPr>
        <w:t xml:space="preserve"> </w:t>
      </w:r>
      <w:r>
        <w:t>de</w:t>
      </w:r>
      <w:r>
        <w:rPr>
          <w:spacing w:val="-8"/>
        </w:rPr>
        <w:t xml:space="preserve"> </w:t>
      </w:r>
      <w:r>
        <w:t>ces</w:t>
      </w:r>
      <w:r>
        <w:rPr>
          <w:spacing w:val="-9"/>
        </w:rPr>
        <w:t xml:space="preserve"> </w:t>
      </w:r>
      <w:r>
        <w:t>principes,</w:t>
      </w:r>
      <w:r>
        <w:rPr>
          <w:spacing w:val="-8"/>
        </w:rPr>
        <w:t xml:space="preserve"> </w:t>
      </w:r>
      <w:r>
        <w:t>il</w:t>
      </w:r>
      <w:r>
        <w:rPr>
          <w:spacing w:val="-6"/>
        </w:rPr>
        <w:t xml:space="preserve"> </w:t>
      </w:r>
      <w:r>
        <w:t>est</w:t>
      </w:r>
      <w:r>
        <w:rPr>
          <w:spacing w:val="-9"/>
        </w:rPr>
        <w:t xml:space="preserve"> </w:t>
      </w:r>
      <w:r>
        <w:t>de</w:t>
      </w:r>
      <w:r>
        <w:rPr>
          <w:spacing w:val="-10"/>
        </w:rPr>
        <w:t xml:space="preserve"> </w:t>
      </w:r>
      <w:r>
        <w:t>notre</w:t>
      </w:r>
      <w:r>
        <w:rPr>
          <w:spacing w:val="-11"/>
        </w:rPr>
        <w:t xml:space="preserve"> </w:t>
      </w:r>
      <w:r>
        <w:t>devoir,</w:t>
      </w:r>
      <w:r>
        <w:rPr>
          <w:spacing w:val="-5"/>
        </w:rPr>
        <w:t xml:space="preserve"> </w:t>
      </w:r>
      <w:r>
        <w:t>en</w:t>
      </w:r>
      <w:r>
        <w:rPr>
          <w:spacing w:val="-8"/>
        </w:rPr>
        <w:t xml:space="preserve"> </w:t>
      </w:r>
      <w:r>
        <w:t>tant</w:t>
      </w:r>
      <w:r>
        <w:rPr>
          <w:spacing w:val="-10"/>
        </w:rPr>
        <w:t xml:space="preserve"> </w:t>
      </w:r>
      <w:r>
        <w:t>qu’investisseur</w:t>
      </w:r>
      <w:r>
        <w:rPr>
          <w:spacing w:val="-7"/>
        </w:rPr>
        <w:t xml:space="preserve"> </w:t>
      </w:r>
      <w:r>
        <w:t>institutionnel,</w:t>
      </w:r>
      <w:r>
        <w:rPr>
          <w:spacing w:val="-7"/>
        </w:rPr>
        <w:t xml:space="preserve"> </w:t>
      </w:r>
      <w:r>
        <w:t>d’agir</w:t>
      </w:r>
      <w:r>
        <w:rPr>
          <w:spacing w:val="-48"/>
        </w:rPr>
        <w:t xml:space="preserve"> </w:t>
      </w:r>
      <w:r>
        <w:t>dans</w:t>
      </w:r>
      <w:r>
        <w:rPr>
          <w:spacing w:val="-6"/>
        </w:rPr>
        <w:t xml:space="preserve"> </w:t>
      </w:r>
      <w:r>
        <w:t>l’intérêt</w:t>
      </w:r>
      <w:r>
        <w:rPr>
          <w:spacing w:val="-4"/>
        </w:rPr>
        <w:t xml:space="preserve"> </w:t>
      </w:r>
      <w:r>
        <w:t>à</w:t>
      </w:r>
      <w:r>
        <w:rPr>
          <w:spacing w:val="-5"/>
        </w:rPr>
        <w:t xml:space="preserve"> </w:t>
      </w:r>
      <w:r>
        <w:t>long</w:t>
      </w:r>
      <w:r>
        <w:rPr>
          <w:spacing w:val="-4"/>
        </w:rPr>
        <w:t xml:space="preserve"> </w:t>
      </w:r>
      <w:r>
        <w:t>terme</w:t>
      </w:r>
      <w:r>
        <w:rPr>
          <w:spacing w:val="-8"/>
        </w:rPr>
        <w:t xml:space="preserve"> </w:t>
      </w:r>
      <w:r>
        <w:t>de</w:t>
      </w:r>
      <w:r>
        <w:rPr>
          <w:spacing w:val="-4"/>
        </w:rPr>
        <w:t xml:space="preserve"> </w:t>
      </w:r>
      <w:r>
        <w:t>nos</w:t>
      </w:r>
      <w:r>
        <w:rPr>
          <w:spacing w:val="-3"/>
        </w:rPr>
        <w:t xml:space="preserve"> </w:t>
      </w:r>
      <w:r>
        <w:t>bénéficiaires.</w:t>
      </w:r>
      <w:r>
        <w:rPr>
          <w:spacing w:val="-5"/>
        </w:rPr>
        <w:t xml:space="preserve"> </w:t>
      </w:r>
      <w:r>
        <w:t>C’est</w:t>
      </w:r>
      <w:r>
        <w:rPr>
          <w:spacing w:val="-7"/>
        </w:rPr>
        <w:t xml:space="preserve"> </w:t>
      </w:r>
      <w:r>
        <w:t>en</w:t>
      </w:r>
      <w:r>
        <w:rPr>
          <w:spacing w:val="-3"/>
        </w:rPr>
        <w:t xml:space="preserve"> </w:t>
      </w:r>
      <w:r>
        <w:t>cette</w:t>
      </w:r>
      <w:r>
        <w:rPr>
          <w:spacing w:val="-5"/>
        </w:rPr>
        <w:t xml:space="preserve"> </w:t>
      </w:r>
      <w:r>
        <w:t>qualité</w:t>
      </w:r>
      <w:r>
        <w:rPr>
          <w:spacing w:val="-4"/>
        </w:rPr>
        <w:t xml:space="preserve"> </w:t>
      </w:r>
      <w:r>
        <w:t>que</w:t>
      </w:r>
      <w:r>
        <w:rPr>
          <w:spacing w:val="-7"/>
        </w:rPr>
        <w:t xml:space="preserve"> </w:t>
      </w:r>
      <w:r>
        <w:t>nous</w:t>
      </w:r>
      <w:r>
        <w:rPr>
          <w:spacing w:val="-6"/>
        </w:rPr>
        <w:t xml:space="preserve"> </w:t>
      </w:r>
      <w:r>
        <w:t>estimons</w:t>
      </w:r>
      <w:r>
        <w:rPr>
          <w:spacing w:val="-5"/>
        </w:rPr>
        <w:t xml:space="preserve"> </w:t>
      </w:r>
      <w:r>
        <w:t>que</w:t>
      </w:r>
      <w:r>
        <w:rPr>
          <w:spacing w:val="-5"/>
        </w:rPr>
        <w:t xml:space="preserve"> </w:t>
      </w:r>
      <w:r>
        <w:t>l’absence</w:t>
      </w:r>
      <w:r>
        <w:rPr>
          <w:spacing w:val="-47"/>
        </w:rPr>
        <w:t xml:space="preserve"> </w:t>
      </w:r>
      <w:r>
        <w:t>de réponse aux questions environnementales, sociales et de gouvernance d’entreprise (ESG) peuvent</w:t>
      </w:r>
      <w:r>
        <w:rPr>
          <w:spacing w:val="1"/>
        </w:rPr>
        <w:t xml:space="preserve"> </w:t>
      </w:r>
      <w:r>
        <w:t>nuire à la performance des portefeuilles d’investissement (à divers degrés selon les entreprises, les</w:t>
      </w:r>
      <w:r>
        <w:rPr>
          <w:spacing w:val="1"/>
        </w:rPr>
        <w:t xml:space="preserve"> </w:t>
      </w:r>
      <w:r>
        <w:t>secteurs, les régions, les catégories d’actifs et au fil du temps). Nous reconnaissons également que</w:t>
      </w:r>
      <w:r>
        <w:rPr>
          <w:spacing w:val="1"/>
        </w:rPr>
        <w:t xml:space="preserve"> </w:t>
      </w:r>
      <w:r>
        <w:t>l’application de ces principes est susceptible de mieux aligner les intérêts des investisseurs sur les</w:t>
      </w:r>
      <w:r>
        <w:rPr>
          <w:spacing w:val="1"/>
        </w:rPr>
        <w:t xml:space="preserve"> </w:t>
      </w:r>
      <w:r>
        <w:t>objectifs généraux de la société. Par conséquent, nous prenons les 6 engagements promus par les PRI</w:t>
      </w:r>
      <w:r>
        <w:rPr>
          <w:spacing w:val="1"/>
        </w:rPr>
        <w:t xml:space="preserve"> </w:t>
      </w:r>
      <w:r>
        <w:t>dès lors qu’ils</w:t>
      </w:r>
      <w:r>
        <w:rPr>
          <w:spacing w:val="-1"/>
        </w:rPr>
        <w:t xml:space="preserve"> </w:t>
      </w:r>
      <w:r>
        <w:t>sont</w:t>
      </w:r>
      <w:r>
        <w:rPr>
          <w:spacing w:val="-1"/>
        </w:rPr>
        <w:t xml:space="preserve"> </w:t>
      </w:r>
      <w:r>
        <w:t>en</w:t>
      </w:r>
      <w:r>
        <w:rPr>
          <w:spacing w:val="-3"/>
        </w:rPr>
        <w:t xml:space="preserve"> </w:t>
      </w:r>
      <w:r>
        <w:t>phase</w:t>
      </w:r>
      <w:r>
        <w:rPr>
          <w:spacing w:val="-1"/>
        </w:rPr>
        <w:t xml:space="preserve"> </w:t>
      </w:r>
      <w:r>
        <w:t>avec</w:t>
      </w:r>
      <w:r>
        <w:rPr>
          <w:spacing w:val="-1"/>
        </w:rPr>
        <w:t xml:space="preserve"> </w:t>
      </w:r>
      <w:r>
        <w:t>nos responsabilités</w:t>
      </w:r>
      <w:r>
        <w:rPr>
          <w:spacing w:val="-1"/>
        </w:rPr>
        <w:t xml:space="preserve"> </w:t>
      </w:r>
      <w:r>
        <w:t>de</w:t>
      </w:r>
      <w:r>
        <w:rPr>
          <w:spacing w:val="-2"/>
        </w:rPr>
        <w:t xml:space="preserve"> </w:t>
      </w:r>
      <w:r>
        <w:t>gestionnaire</w:t>
      </w:r>
      <w:r>
        <w:rPr>
          <w:spacing w:val="-3"/>
        </w:rPr>
        <w:t xml:space="preserve"> </w:t>
      </w:r>
      <w:r>
        <w:t>d’actifs</w:t>
      </w:r>
      <w:r>
        <w:rPr>
          <w:spacing w:val="-2"/>
        </w:rPr>
        <w:t xml:space="preserve"> </w:t>
      </w:r>
      <w:r>
        <w:t>financiers.</w:t>
      </w:r>
    </w:p>
    <w:p w14:paraId="4A91C8D3" w14:textId="77777777" w:rsidR="00A6318D" w:rsidRDefault="0040292B">
      <w:pPr>
        <w:pStyle w:val="Corpsdetexte"/>
        <w:spacing w:before="158" w:line="254" w:lineRule="auto"/>
        <w:ind w:left="115" w:right="114"/>
        <w:jc w:val="both"/>
      </w:pPr>
      <w:r>
        <w:t>Nous avons aussi pris l’engagement d’adopter une démarche respectueuse des critères ESG au sein de</w:t>
      </w:r>
      <w:r>
        <w:rPr>
          <w:spacing w:val="-47"/>
        </w:rPr>
        <w:t xml:space="preserve"> </w:t>
      </w:r>
      <w:r>
        <w:t>notre</w:t>
      </w:r>
      <w:r>
        <w:rPr>
          <w:spacing w:val="-2"/>
        </w:rPr>
        <w:t xml:space="preserve"> </w:t>
      </w:r>
      <w:r>
        <w:t>société</w:t>
      </w:r>
      <w:r>
        <w:rPr>
          <w:spacing w:val="-1"/>
        </w:rPr>
        <w:t xml:space="preserve"> </w:t>
      </w:r>
      <w:r>
        <w:t>de</w:t>
      </w:r>
      <w:r>
        <w:rPr>
          <w:spacing w:val="-2"/>
        </w:rPr>
        <w:t xml:space="preserve"> </w:t>
      </w:r>
      <w:r>
        <w:t>gestion</w:t>
      </w:r>
      <w:r>
        <w:rPr>
          <w:spacing w:val="1"/>
        </w:rPr>
        <w:t xml:space="preserve"> </w:t>
      </w:r>
      <w:r>
        <w:t>et</w:t>
      </w:r>
      <w:r>
        <w:rPr>
          <w:spacing w:val="-3"/>
        </w:rPr>
        <w:t xml:space="preserve"> </w:t>
      </w:r>
      <w:r>
        <w:t>des sociétés</w:t>
      </w:r>
      <w:r>
        <w:rPr>
          <w:spacing w:val="1"/>
        </w:rPr>
        <w:t xml:space="preserve"> </w:t>
      </w:r>
      <w:r>
        <w:t>détenues</w:t>
      </w:r>
      <w:r>
        <w:rPr>
          <w:spacing w:val="-1"/>
        </w:rPr>
        <w:t xml:space="preserve"> </w:t>
      </w:r>
      <w:r>
        <w:t>dans</w:t>
      </w:r>
      <w:r>
        <w:rPr>
          <w:spacing w:val="-2"/>
        </w:rPr>
        <w:t xml:space="preserve"> </w:t>
      </w:r>
      <w:r>
        <w:t>ses</w:t>
      </w:r>
      <w:r>
        <w:rPr>
          <w:spacing w:val="-1"/>
        </w:rPr>
        <w:t xml:space="preserve"> </w:t>
      </w:r>
      <w:r>
        <w:t>portefeuilles.</w:t>
      </w:r>
    </w:p>
    <w:p w14:paraId="55D215C7" w14:textId="77777777" w:rsidR="00A6318D" w:rsidRDefault="0040292B">
      <w:pPr>
        <w:pStyle w:val="Corpsdetexte"/>
        <w:spacing w:before="170" w:line="256" w:lineRule="auto"/>
        <w:ind w:left="116" w:right="112"/>
        <w:jc w:val="both"/>
      </w:pPr>
      <w:r>
        <w:t>La société de gestion a pour conviction que les sociétés qui tiennent compte des questions ESG sont</w:t>
      </w:r>
      <w:r>
        <w:rPr>
          <w:spacing w:val="1"/>
        </w:rPr>
        <w:t xml:space="preserve"> </w:t>
      </w:r>
      <w:r>
        <w:t>plus vertueuses</w:t>
      </w:r>
      <w:r>
        <w:rPr>
          <w:spacing w:val="1"/>
        </w:rPr>
        <w:t xml:space="preserve"> </w:t>
      </w:r>
      <w:r>
        <w:t>et</w:t>
      </w:r>
      <w:r>
        <w:rPr>
          <w:spacing w:val="-3"/>
        </w:rPr>
        <w:t xml:space="preserve"> </w:t>
      </w:r>
      <w:r>
        <w:t>performantes.</w:t>
      </w:r>
    </w:p>
    <w:p w14:paraId="779A45F0" w14:textId="77777777" w:rsidR="00A6318D" w:rsidRDefault="00A6318D">
      <w:pPr>
        <w:pStyle w:val="Corpsdetexte"/>
      </w:pPr>
    </w:p>
    <w:p w14:paraId="7479EF70" w14:textId="77777777" w:rsidR="00A6318D" w:rsidRDefault="00A6318D">
      <w:pPr>
        <w:pStyle w:val="Corpsdetexte"/>
        <w:spacing w:before="3"/>
        <w:rPr>
          <w:sz w:val="28"/>
        </w:rPr>
      </w:pPr>
    </w:p>
    <w:p w14:paraId="3BF283C2" w14:textId="77777777" w:rsidR="00A6318D" w:rsidRDefault="00A6318D">
      <w:pPr>
        <w:pStyle w:val="Corpsdetexte"/>
        <w:spacing w:before="9"/>
        <w:rPr>
          <w:sz w:val="23"/>
        </w:rPr>
      </w:pPr>
    </w:p>
    <w:p w14:paraId="61B58D6E" w14:textId="77777777" w:rsidR="00A6318D" w:rsidRDefault="0040292B">
      <w:pPr>
        <w:pStyle w:val="Corpsdetexte"/>
        <w:ind w:left="115"/>
        <w:jc w:val="both"/>
      </w:pPr>
      <w:r>
        <w:t>GO</w:t>
      </w:r>
      <w:r>
        <w:rPr>
          <w:spacing w:val="-2"/>
        </w:rPr>
        <w:t xml:space="preserve"> </w:t>
      </w:r>
      <w:r>
        <w:t>CAPITAL</w:t>
      </w:r>
      <w:r>
        <w:rPr>
          <w:spacing w:val="-1"/>
        </w:rPr>
        <w:t xml:space="preserve"> </w:t>
      </w:r>
      <w:r>
        <w:t>appuie</w:t>
      </w:r>
      <w:r>
        <w:rPr>
          <w:spacing w:val="-2"/>
        </w:rPr>
        <w:t xml:space="preserve"> </w:t>
      </w:r>
      <w:r>
        <w:t>sa</w:t>
      </w:r>
      <w:r>
        <w:rPr>
          <w:spacing w:val="-5"/>
        </w:rPr>
        <w:t xml:space="preserve"> </w:t>
      </w:r>
      <w:r>
        <w:t>démarche</w:t>
      </w:r>
      <w:r>
        <w:rPr>
          <w:spacing w:val="-2"/>
        </w:rPr>
        <w:t xml:space="preserve"> </w:t>
      </w:r>
      <w:r>
        <w:t>sur</w:t>
      </w:r>
      <w:r>
        <w:rPr>
          <w:spacing w:val="-1"/>
        </w:rPr>
        <w:t xml:space="preserve"> </w:t>
      </w:r>
      <w:r>
        <w:t>le</w:t>
      </w:r>
      <w:r>
        <w:rPr>
          <w:spacing w:val="-2"/>
        </w:rPr>
        <w:t xml:space="preserve"> </w:t>
      </w:r>
      <w:r>
        <w:t>livre</w:t>
      </w:r>
      <w:r>
        <w:rPr>
          <w:spacing w:val="-3"/>
        </w:rPr>
        <w:t xml:space="preserve"> </w:t>
      </w:r>
      <w:r>
        <w:t>blanc</w:t>
      </w:r>
      <w:r>
        <w:rPr>
          <w:spacing w:val="-4"/>
        </w:rPr>
        <w:t xml:space="preserve"> </w:t>
      </w:r>
      <w:r>
        <w:t>(France</w:t>
      </w:r>
      <w:r>
        <w:rPr>
          <w:spacing w:val="-3"/>
        </w:rPr>
        <w:t xml:space="preserve"> </w:t>
      </w:r>
      <w:r>
        <w:t>Invest</w:t>
      </w:r>
      <w:r>
        <w:rPr>
          <w:spacing w:val="-1"/>
        </w:rPr>
        <w:t xml:space="preserve"> </w:t>
      </w:r>
      <w:r>
        <w:t>2018)</w:t>
      </w:r>
    </w:p>
    <w:p w14:paraId="0CFF9AA4" w14:textId="77777777" w:rsidR="00A6318D" w:rsidRDefault="00A6318D">
      <w:pPr>
        <w:jc w:val="both"/>
        <w:sectPr w:rsidR="00A6318D">
          <w:headerReference w:type="default" r:id="rId7"/>
          <w:type w:val="continuous"/>
          <w:pgSz w:w="11910" w:h="16840"/>
          <w:pgMar w:top="1320" w:right="1300" w:bottom="280" w:left="1300" w:header="720" w:footer="720" w:gutter="0"/>
          <w:pgNumType w:start="1"/>
          <w:cols w:space="720"/>
        </w:sectPr>
      </w:pPr>
    </w:p>
    <w:p w14:paraId="44DC4BB6" w14:textId="77777777" w:rsidR="00A6318D" w:rsidRDefault="00A6318D">
      <w:pPr>
        <w:pStyle w:val="Corpsdetexte"/>
        <w:spacing w:before="6"/>
        <w:rPr>
          <w:sz w:val="7"/>
        </w:rPr>
      </w:pPr>
    </w:p>
    <w:p w14:paraId="52515F8E" w14:textId="600FB5AF" w:rsidR="00A6318D" w:rsidRDefault="00A6318D">
      <w:pPr>
        <w:pStyle w:val="Corpsdetexte"/>
        <w:ind w:left="117"/>
        <w:rPr>
          <w:sz w:val="20"/>
        </w:rPr>
      </w:pPr>
    </w:p>
    <w:p w14:paraId="16CBADA5" w14:textId="77777777" w:rsidR="00A6318D" w:rsidRDefault="00A6318D">
      <w:pPr>
        <w:pStyle w:val="Corpsdetexte"/>
        <w:spacing w:before="5"/>
        <w:rPr>
          <w:sz w:val="11"/>
        </w:rPr>
      </w:pPr>
    </w:p>
    <w:p w14:paraId="1ED14B5D" w14:textId="77777777" w:rsidR="00A6318D" w:rsidRPr="00886047" w:rsidRDefault="0040292B">
      <w:pPr>
        <w:pStyle w:val="Paragraphedeliste"/>
        <w:numPr>
          <w:ilvl w:val="0"/>
          <w:numId w:val="3"/>
        </w:numPr>
        <w:tabs>
          <w:tab w:val="left" w:pos="823"/>
          <w:tab w:val="left" w:pos="824"/>
        </w:tabs>
        <w:spacing w:before="56"/>
        <w:ind w:hanging="709"/>
        <w:jc w:val="left"/>
        <w:rPr>
          <w:color w:val="4F81BD" w:themeColor="accent1"/>
        </w:rPr>
      </w:pPr>
      <w:r w:rsidRPr="00886047">
        <w:rPr>
          <w:color w:val="4F81BD" w:themeColor="accent1"/>
          <w:u w:val="single" w:color="1B536B"/>
        </w:rPr>
        <w:t>Engagements</w:t>
      </w:r>
    </w:p>
    <w:p w14:paraId="5E450002" w14:textId="77777777" w:rsidR="00A6318D" w:rsidRDefault="00A6318D">
      <w:pPr>
        <w:pStyle w:val="Corpsdetexte"/>
        <w:rPr>
          <w:sz w:val="20"/>
        </w:rPr>
      </w:pPr>
    </w:p>
    <w:p w14:paraId="2BC44CAC" w14:textId="18E3C309" w:rsidR="008F1444" w:rsidRPr="008F1444" w:rsidRDefault="008F1444" w:rsidP="00D33E08">
      <w:pPr>
        <w:ind w:left="284"/>
        <w:jc w:val="both"/>
      </w:pPr>
      <w:r>
        <w:t>GO CAPITAL met en place pour chacun de ses Fonds</w:t>
      </w:r>
      <w:r w:rsidRPr="008F1444">
        <w:t xml:space="preserve"> un cadre pour intégrer les risques en matière de durabilité dans les décisions d’investissement basé sur des facteurs de durabilité.</w:t>
      </w:r>
      <w:r w:rsidR="00D33E08">
        <w:t xml:space="preserve"> </w:t>
      </w:r>
      <w:r w:rsidRPr="008F1444">
        <w:t xml:space="preserve">Ce cadre s’appuie notamment sur : </w:t>
      </w:r>
    </w:p>
    <w:p w14:paraId="24BE1F8E" w14:textId="77777777" w:rsidR="008F1444" w:rsidRPr="008F1444" w:rsidRDefault="008F1444" w:rsidP="008F1444">
      <w:pPr>
        <w:ind w:left="284"/>
        <w:jc w:val="both"/>
      </w:pPr>
    </w:p>
    <w:p w14:paraId="2CCD3F7D" w14:textId="2AC7EEC2" w:rsidR="008F1444" w:rsidRDefault="008F1444" w:rsidP="008F1444">
      <w:pPr>
        <w:pStyle w:val="Paragraphedeliste"/>
        <w:widowControl/>
        <w:autoSpaceDE/>
        <w:autoSpaceDN/>
        <w:ind w:left="284" w:firstLine="0"/>
        <w:jc w:val="both"/>
      </w:pPr>
      <w:r w:rsidRPr="00920598">
        <w:rPr>
          <w:color w:val="4F81BD" w:themeColor="accent1"/>
        </w:rPr>
        <w:t>L’application de politiques d'exclusion</w:t>
      </w:r>
      <w:r w:rsidR="00920598" w:rsidRPr="00920598">
        <w:rPr>
          <w:color w:val="4F81BD" w:themeColor="accent1"/>
        </w:rPr>
        <w:t> </w:t>
      </w:r>
      <w:r w:rsidR="00920598">
        <w:t>:</w:t>
      </w:r>
    </w:p>
    <w:p w14:paraId="368B63F0" w14:textId="77777777" w:rsidR="008F1444" w:rsidRPr="00BC76F3" w:rsidRDefault="008F1444" w:rsidP="008F1444">
      <w:pPr>
        <w:jc w:val="both"/>
        <w:rPr>
          <w:rFonts w:ascii="Times New Roman" w:hAnsi="Times New Roman" w:cs="Times New Roman"/>
        </w:rPr>
      </w:pPr>
    </w:p>
    <w:p w14:paraId="1C85C40F" w14:textId="232FCE47" w:rsidR="008F1444" w:rsidRPr="008F1444" w:rsidRDefault="008F1444" w:rsidP="008F1444">
      <w:pPr>
        <w:pStyle w:val="Paragraphedeliste"/>
        <w:autoSpaceDE/>
        <w:autoSpaceDN/>
        <w:ind w:left="1080" w:firstLine="0"/>
        <w:jc w:val="both"/>
      </w:pPr>
      <w:r>
        <w:t>U</w:t>
      </w:r>
      <w:r w:rsidRPr="008F1444">
        <w:t>ne activité illégale (c’est-à-dire une activité de production, vente ou autre qui serait illégale  aux termes de la réglementation applicable au Fonds ou à l’entité concernée), incluant, sans que cela soit limitatif, le clonage humain aux fins de reproduction et les activités visées à l’article 19.3, du Règlement (UE) no 1291/2013 du Parlement Européen et du Conseil du 11 décembre 2013 (les activités de recherche en vue du clonage humain à des fins de reproduction, les activités de recherche visant à modifier de façon héréditaire le patrimoine génétique d’êtres humains (hormis la recherche relative au traitement du cancer des gonades), les activités de recherche destinées à créer des embryons humains uniquement à des fins de recherche ou à des fins d’obtention de cellules souches, notamment par transfert nucléaire de cellules somatiques ;</w:t>
      </w:r>
    </w:p>
    <w:p w14:paraId="52BF2D11" w14:textId="77777777" w:rsidR="008F1444" w:rsidRPr="008F1444" w:rsidRDefault="008F1444" w:rsidP="008F1444">
      <w:pPr>
        <w:pStyle w:val="Paragraphedeliste"/>
        <w:ind w:left="1080"/>
        <w:jc w:val="both"/>
      </w:pPr>
    </w:p>
    <w:p w14:paraId="0B30D92B" w14:textId="0A64C75A" w:rsidR="008F1444" w:rsidRPr="008F1444" w:rsidRDefault="008F1444" w:rsidP="008F1444">
      <w:pPr>
        <w:pStyle w:val="Paragraphedeliste"/>
        <w:autoSpaceDE/>
        <w:autoSpaceDN/>
        <w:ind w:left="1080" w:firstLine="0"/>
        <w:jc w:val="both"/>
      </w:pPr>
      <w:r>
        <w:t>L</w:t>
      </w:r>
      <w:r w:rsidRPr="008F1444">
        <w:t xml:space="preserve">a production d'énergie à partir de combustibles fossiles et les activités connexes, à savoir (a) l'extraction, le traitement, le transport et le stockage du charbon ; (b) la prospection et la production de pétrole, le raffinage, le transport, la distribution et le stockage ; (c) la prospection et la production de gaz naturel, la liquéfaction, la regazéification, le transport, la distribution et le stockage ; (d) la production d'électricité dépassant la norme de performance en matière d'émissions (c'est-à-dire 250 grammes de CO2e par kWh d'électricité), applicable aux centrales électriques et aux centrales de cogénération alimentées par des combustibles fossiles, aux centrales géothermiques et aux centrales hydroélectriques avec de grands réservoirs ; </w:t>
      </w:r>
    </w:p>
    <w:p w14:paraId="6C0800FD" w14:textId="77777777" w:rsidR="008F1444" w:rsidRPr="008F1444" w:rsidRDefault="008F1444" w:rsidP="008F1444">
      <w:pPr>
        <w:pStyle w:val="Paragraphedeliste"/>
      </w:pPr>
    </w:p>
    <w:p w14:paraId="0A1AD6DC" w14:textId="5F2C9F61" w:rsidR="008F1444" w:rsidRPr="008F1444" w:rsidRDefault="008F1444" w:rsidP="008F1444">
      <w:pPr>
        <w:pStyle w:val="Paragraphedeliste"/>
        <w:autoSpaceDE/>
        <w:autoSpaceDN/>
        <w:ind w:left="1080" w:firstLine="0"/>
        <w:jc w:val="both"/>
      </w:pPr>
      <w:r>
        <w:t>L</w:t>
      </w:r>
      <w:r w:rsidRPr="008F1444">
        <w:t>es industries à forte intensité énergétique et/ou à fortes émissions de CO2, telles que la/le (a) fabrication de produits chimiques de base organiques et inorganiques, (b) fabrication d'engrais et de composés azotés, (c) fabrication de matières plastiques sous forme primaire, (d) fabrication de ciment, (e) fabrication de fonte, d'acier et de ferro-alliages, (f) fabrication de tubes, tuyaux, profilés creux et accessoires en acier, (g) fabrication d'autres produits de première transformation de l'acier, (h) production d'aluminium, (i) construction d'avions et de machines connexes, (j) transport aérien, aéroports et activités de service liées au transport aérien ;</w:t>
      </w:r>
    </w:p>
    <w:p w14:paraId="56A36655" w14:textId="77777777" w:rsidR="00886047" w:rsidRDefault="00886047" w:rsidP="008F1444">
      <w:pPr>
        <w:pStyle w:val="Paragraphedeliste"/>
        <w:keepNext/>
        <w:widowControl/>
        <w:autoSpaceDE/>
        <w:autoSpaceDN/>
        <w:ind w:left="1080" w:firstLine="0"/>
        <w:jc w:val="both"/>
      </w:pPr>
    </w:p>
    <w:p w14:paraId="2BC6387C" w14:textId="55B9DEC1" w:rsidR="008F1444" w:rsidRPr="008F1444" w:rsidRDefault="008F1444" w:rsidP="008F1444">
      <w:pPr>
        <w:pStyle w:val="Paragraphedeliste"/>
        <w:keepNext/>
        <w:widowControl/>
        <w:autoSpaceDE/>
        <w:autoSpaceDN/>
        <w:ind w:left="1080" w:firstLine="0"/>
        <w:jc w:val="both"/>
      </w:pPr>
      <w:r>
        <w:t>L</w:t>
      </w:r>
      <w:r w:rsidRPr="008F1444">
        <w:t xml:space="preserve">a production ou la vente de tabac ou d’alcool ou de produits dérivés ; </w:t>
      </w:r>
    </w:p>
    <w:p w14:paraId="6E71C5D6" w14:textId="77777777" w:rsidR="008F1444" w:rsidRPr="008F1444" w:rsidRDefault="008F1444" w:rsidP="008F1444">
      <w:pPr>
        <w:pStyle w:val="Paragraphedeliste"/>
      </w:pPr>
    </w:p>
    <w:p w14:paraId="1DBF85F3" w14:textId="2DA4B59B" w:rsidR="008F1444" w:rsidRPr="008F1444" w:rsidRDefault="008F1444" w:rsidP="008F1444">
      <w:pPr>
        <w:pStyle w:val="Paragraphedeliste"/>
        <w:keepNext/>
        <w:widowControl/>
        <w:autoSpaceDE/>
        <w:autoSpaceDN/>
        <w:ind w:left="1080" w:firstLine="0"/>
        <w:jc w:val="both"/>
      </w:pPr>
      <w:r>
        <w:t>L</w:t>
      </w:r>
      <w:r w:rsidRPr="008F1444">
        <w:t>e financement de la production ou de la vente d’armes ou de munitions quelles qu’elles soient ;</w:t>
      </w:r>
    </w:p>
    <w:p w14:paraId="578281A2" w14:textId="77777777" w:rsidR="008F1444" w:rsidRPr="008F1444" w:rsidRDefault="008F1444" w:rsidP="008F1444">
      <w:pPr>
        <w:pStyle w:val="Paragraphedeliste"/>
      </w:pPr>
    </w:p>
    <w:p w14:paraId="44B41332" w14:textId="4B0DBC03" w:rsidR="008F1444" w:rsidRPr="008F1444" w:rsidRDefault="008F1444" w:rsidP="008F1444">
      <w:pPr>
        <w:pStyle w:val="Paragraphedeliste"/>
        <w:keepNext/>
        <w:widowControl/>
        <w:autoSpaceDE/>
        <w:autoSpaceDN/>
        <w:ind w:left="1080" w:firstLine="0"/>
        <w:jc w:val="both"/>
      </w:pPr>
      <w:r>
        <w:t>L</w:t>
      </w:r>
      <w:r w:rsidRPr="008F1444">
        <w:t xml:space="preserve">es casinos et toutes entreprises de jeux d’argent ; </w:t>
      </w:r>
    </w:p>
    <w:p w14:paraId="4B513BDB" w14:textId="77777777" w:rsidR="008F1444" w:rsidRPr="008F1444" w:rsidRDefault="008F1444" w:rsidP="008F1444">
      <w:pPr>
        <w:pStyle w:val="Paragraphedeliste"/>
      </w:pPr>
    </w:p>
    <w:p w14:paraId="06722078" w14:textId="2CD4A037" w:rsidR="008F1444" w:rsidRPr="008F1444" w:rsidRDefault="008F1444" w:rsidP="008F1444">
      <w:pPr>
        <w:pStyle w:val="Paragraphedeliste"/>
        <w:keepNext/>
        <w:widowControl/>
        <w:autoSpaceDE/>
        <w:autoSpaceDN/>
        <w:ind w:left="1080" w:firstLine="0"/>
        <w:jc w:val="both"/>
      </w:pPr>
      <w:r>
        <w:t>L</w:t>
      </w:r>
      <w:r w:rsidRPr="008F1444">
        <w:t>a recherche, le développement ou les applications techniques concernant des programmes ou solutions informatiques :</w:t>
      </w:r>
    </w:p>
    <w:p w14:paraId="63546240" w14:textId="77777777" w:rsidR="008F1444" w:rsidRPr="008F1444" w:rsidRDefault="008F1444" w:rsidP="008F1444">
      <w:pPr>
        <w:pStyle w:val="Paragraphedeliste"/>
      </w:pPr>
    </w:p>
    <w:p w14:paraId="374A161B" w14:textId="77777777" w:rsidR="008F1444" w:rsidRPr="008F1444" w:rsidRDefault="008F1444" w:rsidP="008F1444">
      <w:pPr>
        <w:pStyle w:val="Paragraphedeliste"/>
        <w:keepNext/>
        <w:widowControl/>
        <w:numPr>
          <w:ilvl w:val="0"/>
          <w:numId w:val="5"/>
        </w:numPr>
        <w:autoSpaceDE/>
        <w:autoSpaceDN/>
        <w:ind w:left="1800"/>
        <w:jc w:val="both"/>
      </w:pPr>
      <w:proofErr w:type="gramStart"/>
      <w:r w:rsidRPr="008F1444">
        <w:t>ayant</w:t>
      </w:r>
      <w:proofErr w:type="gramEnd"/>
      <w:r w:rsidRPr="008F1444">
        <w:t xml:space="preserve"> pour objet le développement de l’une des activités visées aux i) à iv) ci-dessus, les casinos et jeux d’argent en ligne, ou la pornographie </w:t>
      </w:r>
      <w:proofErr w:type="gramStart"/>
      <w:r w:rsidRPr="008F1444">
        <w:t>ou</w:t>
      </w:r>
      <w:proofErr w:type="gramEnd"/>
      <w:r w:rsidRPr="008F1444">
        <w:t xml:space="preserve"> </w:t>
      </w:r>
    </w:p>
    <w:p w14:paraId="303ED005" w14:textId="77777777" w:rsidR="008F1444" w:rsidRPr="008F1444" w:rsidRDefault="008F1444" w:rsidP="008F1444">
      <w:pPr>
        <w:pStyle w:val="Paragraphedeliste"/>
        <w:keepNext/>
        <w:widowControl/>
        <w:numPr>
          <w:ilvl w:val="0"/>
          <w:numId w:val="5"/>
        </w:numPr>
        <w:autoSpaceDE/>
        <w:autoSpaceDN/>
        <w:ind w:left="1800"/>
        <w:jc w:val="both"/>
      </w:pPr>
      <w:proofErr w:type="gramStart"/>
      <w:r w:rsidRPr="008F1444">
        <w:t>destinés</w:t>
      </w:r>
      <w:proofErr w:type="gramEnd"/>
      <w:r w:rsidRPr="008F1444">
        <w:t xml:space="preserve"> à télécharger illégalement des données électroniques ou de pénétrer illégalement dans un réseau de données électroniques.</w:t>
      </w:r>
    </w:p>
    <w:p w14:paraId="74BF0ADB" w14:textId="77777777" w:rsidR="008F1444" w:rsidRPr="008F1444" w:rsidRDefault="008F1444" w:rsidP="008F1444">
      <w:pPr>
        <w:jc w:val="both"/>
      </w:pPr>
    </w:p>
    <w:p w14:paraId="03426DA8" w14:textId="77777777" w:rsidR="00886047" w:rsidRDefault="00886047" w:rsidP="008F1444">
      <w:pPr>
        <w:jc w:val="both"/>
      </w:pPr>
    </w:p>
    <w:p w14:paraId="038F843C" w14:textId="77777777" w:rsidR="00886047" w:rsidRDefault="00886047" w:rsidP="008F1444">
      <w:pPr>
        <w:jc w:val="both"/>
      </w:pPr>
    </w:p>
    <w:p w14:paraId="601078DB" w14:textId="28D91A9A" w:rsidR="008F1444" w:rsidRPr="008F1444" w:rsidRDefault="008F1444" w:rsidP="008F1444">
      <w:pPr>
        <w:jc w:val="both"/>
      </w:pPr>
      <w:r w:rsidRPr="008F1444">
        <w:t xml:space="preserve">En complément, dans la perspective d’accompagner plus particulièrement, en dehors de la santé humaine, des entreprises visant à appréhender les conséquences du changement climatique et à assurer la modernisation des secteurs industriels traditionnels en visant un impact positif sur l’environnement, </w:t>
      </w:r>
      <w:r w:rsidR="00886047">
        <w:t xml:space="preserve">GO CAPITAL </w:t>
      </w:r>
      <w:r w:rsidRPr="008F1444">
        <w:t>s’interdit de prendre des participations dans des entreprises ayant un impact carbone négatif ou ne visant pas directement ou indirectement une réduction de l’impact humain sur l’environnement. En particulier, les investissements dans le secteur digital devront montrer une prise en compte forte de la démarche RSE et ne pas promouvoir des solutions techniques à bilan carbone dégradé.</w:t>
      </w:r>
    </w:p>
    <w:p w14:paraId="72F948CA" w14:textId="77777777" w:rsidR="008F1444" w:rsidRPr="008F1444" w:rsidRDefault="008F1444" w:rsidP="008F1444">
      <w:pPr>
        <w:pStyle w:val="Corpsdetexte"/>
      </w:pPr>
    </w:p>
    <w:p w14:paraId="5FB75B50" w14:textId="77777777" w:rsidR="008F1444" w:rsidRDefault="008F1444" w:rsidP="008F1444">
      <w:pPr>
        <w:widowControl/>
        <w:autoSpaceDE/>
        <w:autoSpaceDN/>
        <w:jc w:val="both"/>
      </w:pPr>
    </w:p>
    <w:p w14:paraId="4D316D28" w14:textId="0EEE3F4D" w:rsidR="0027426F" w:rsidRDefault="00886047" w:rsidP="0027426F">
      <w:pPr>
        <w:widowControl/>
        <w:autoSpaceDE/>
        <w:autoSpaceDN/>
        <w:jc w:val="both"/>
      </w:pPr>
      <w:r>
        <w:rPr>
          <w:color w:val="4F81BD" w:themeColor="accent1"/>
        </w:rPr>
        <w:t xml:space="preserve">La qualité </w:t>
      </w:r>
      <w:r w:rsidR="0027426F" w:rsidRPr="0027426F">
        <w:rPr>
          <w:color w:val="4F81BD" w:themeColor="accent1"/>
        </w:rPr>
        <w:t>des investissements</w:t>
      </w:r>
      <w:r>
        <w:t> :</w:t>
      </w:r>
    </w:p>
    <w:p w14:paraId="2B5C0364" w14:textId="77777777" w:rsidR="0027426F" w:rsidRDefault="0027426F" w:rsidP="0027426F">
      <w:pPr>
        <w:widowControl/>
        <w:autoSpaceDE/>
        <w:autoSpaceDN/>
        <w:jc w:val="both"/>
      </w:pPr>
    </w:p>
    <w:p w14:paraId="4C531B27" w14:textId="77777777" w:rsidR="0027426F" w:rsidRDefault="0027426F" w:rsidP="00D33E08">
      <w:pPr>
        <w:tabs>
          <w:tab w:val="left" w:pos="493"/>
        </w:tabs>
        <w:ind w:left="851"/>
      </w:pPr>
      <w:r w:rsidRPr="00886047">
        <w:rPr>
          <w:color w:val="2D74B5"/>
        </w:rPr>
        <w:t>Environnement</w:t>
      </w:r>
    </w:p>
    <w:p w14:paraId="2B457BB0" w14:textId="198DC61E" w:rsidR="0027426F" w:rsidRDefault="00D33E08" w:rsidP="00886047">
      <w:pPr>
        <w:pStyle w:val="Paragraphedeliste"/>
        <w:numPr>
          <w:ilvl w:val="2"/>
          <w:numId w:val="3"/>
        </w:numPr>
        <w:tabs>
          <w:tab w:val="left" w:pos="837"/>
        </w:tabs>
        <w:spacing w:before="183" w:line="259" w:lineRule="auto"/>
        <w:ind w:right="112"/>
        <w:jc w:val="both"/>
      </w:pPr>
      <w:r>
        <w:t xml:space="preserve">GO CAPITAL </w:t>
      </w:r>
      <w:r w:rsidR="00886047">
        <w:t>s’engage</w:t>
      </w:r>
      <w:r w:rsidR="00886047" w:rsidRPr="00886047">
        <w:t xml:space="preserve"> </w:t>
      </w:r>
      <w:r w:rsidR="00886047">
        <w:t>à</w:t>
      </w:r>
      <w:r w:rsidR="00886047" w:rsidRPr="00886047">
        <w:t xml:space="preserve"> </w:t>
      </w:r>
      <w:r w:rsidR="00886047">
        <w:t>investir</w:t>
      </w:r>
      <w:r w:rsidR="00886047" w:rsidRPr="00886047">
        <w:t xml:space="preserve"> </w:t>
      </w:r>
      <w:r w:rsidR="00886047">
        <w:t>dans</w:t>
      </w:r>
      <w:r w:rsidR="00886047" w:rsidRPr="00886047">
        <w:t xml:space="preserve"> </w:t>
      </w:r>
      <w:r w:rsidR="00886047">
        <w:t>des</w:t>
      </w:r>
      <w:r w:rsidR="00886047" w:rsidRPr="00886047">
        <w:t xml:space="preserve"> </w:t>
      </w:r>
      <w:r w:rsidR="00886047">
        <w:t>sociétés</w:t>
      </w:r>
      <w:r w:rsidR="00886047" w:rsidRPr="00886047">
        <w:t xml:space="preserve"> </w:t>
      </w:r>
      <w:r w:rsidR="00886047">
        <w:t>ne</w:t>
      </w:r>
      <w:r w:rsidR="00886047" w:rsidRPr="00886047">
        <w:t xml:space="preserve"> </w:t>
      </w:r>
      <w:r w:rsidR="00886047">
        <w:t>portant</w:t>
      </w:r>
      <w:r w:rsidR="00886047" w:rsidRPr="00886047">
        <w:t xml:space="preserve"> </w:t>
      </w:r>
      <w:r w:rsidR="00886047">
        <w:t>aucune</w:t>
      </w:r>
      <w:r w:rsidR="00886047" w:rsidRPr="00886047">
        <w:t xml:space="preserve"> </w:t>
      </w:r>
      <w:r w:rsidR="00886047">
        <w:t>atteinte</w:t>
      </w:r>
      <w:r w:rsidR="00886047" w:rsidRPr="00886047">
        <w:t xml:space="preserve"> </w:t>
      </w:r>
      <w:r w:rsidR="00886047">
        <w:t>grave</w:t>
      </w:r>
      <w:r w:rsidR="00886047" w:rsidRPr="00886047">
        <w:t xml:space="preserve"> </w:t>
      </w:r>
      <w:r w:rsidR="00886047">
        <w:t>à l’environnement. Des critères précis sont observés avant la phase d’investissements. Ainsi, si</w:t>
      </w:r>
      <w:r w:rsidR="00886047" w:rsidRPr="00886047">
        <w:t xml:space="preserve"> </w:t>
      </w:r>
      <w:r w:rsidR="00886047">
        <w:t>l’activité</w:t>
      </w:r>
      <w:r w:rsidR="00886047" w:rsidRPr="00886047">
        <w:t xml:space="preserve"> </w:t>
      </w:r>
      <w:r w:rsidR="00886047">
        <w:t>est</w:t>
      </w:r>
      <w:r w:rsidR="00886047" w:rsidRPr="00886047">
        <w:t xml:space="preserve"> </w:t>
      </w:r>
      <w:r w:rsidR="00886047">
        <w:t>nuisible</w:t>
      </w:r>
      <w:r w:rsidR="00886047" w:rsidRPr="00886047">
        <w:t xml:space="preserve"> </w:t>
      </w:r>
      <w:r w:rsidR="00886047">
        <w:t>pour</w:t>
      </w:r>
      <w:r w:rsidR="00886047" w:rsidRPr="00886047">
        <w:t xml:space="preserve"> </w:t>
      </w:r>
      <w:r w:rsidR="00886047">
        <w:t>l’environnement,</w:t>
      </w:r>
      <w:r w:rsidR="00886047" w:rsidRPr="00886047">
        <w:t xml:space="preserve"> </w:t>
      </w:r>
      <w:r w:rsidR="00886047">
        <w:t>sans</w:t>
      </w:r>
      <w:r w:rsidR="00886047" w:rsidRPr="00886047">
        <w:t xml:space="preserve"> </w:t>
      </w:r>
      <w:r w:rsidR="00886047">
        <w:t>transition</w:t>
      </w:r>
      <w:r w:rsidR="00886047" w:rsidRPr="00886047">
        <w:t xml:space="preserve"> </w:t>
      </w:r>
      <w:r w:rsidR="00886047">
        <w:t>envisageable,</w:t>
      </w:r>
      <w:r w:rsidR="00886047" w:rsidRPr="00886047">
        <w:t xml:space="preserve"> </w:t>
      </w:r>
      <w:r w:rsidR="00886047">
        <w:t>alors</w:t>
      </w:r>
      <w:r w:rsidR="00886047" w:rsidRPr="00886047">
        <w:t xml:space="preserve"> </w:t>
      </w:r>
      <w:r w:rsidR="00886047">
        <w:t>nous</w:t>
      </w:r>
      <w:r w:rsidR="00886047" w:rsidRPr="00886047">
        <w:t xml:space="preserve"> </w:t>
      </w:r>
      <w:r w:rsidR="00886047">
        <w:t>ne</w:t>
      </w:r>
      <w:r w:rsidR="00886047" w:rsidRPr="00886047">
        <w:t xml:space="preserve"> </w:t>
      </w:r>
      <w:r w:rsidR="00886047">
        <w:t>poursuivons pas</w:t>
      </w:r>
      <w:r w:rsidR="00886047" w:rsidRPr="00886047">
        <w:t xml:space="preserve"> </w:t>
      </w:r>
      <w:r w:rsidR="00886047">
        <w:t>l’investissement</w:t>
      </w:r>
    </w:p>
    <w:p w14:paraId="73E5CD4D" w14:textId="77777777" w:rsidR="00D33E08" w:rsidRDefault="00D33E08" w:rsidP="00886047">
      <w:pPr>
        <w:tabs>
          <w:tab w:val="left" w:pos="491"/>
        </w:tabs>
        <w:rPr>
          <w:color w:val="2D74B5"/>
        </w:rPr>
      </w:pPr>
    </w:p>
    <w:p w14:paraId="549BF335" w14:textId="6EF62491" w:rsidR="0027426F" w:rsidRPr="00D33E08" w:rsidRDefault="0027426F" w:rsidP="00D33E08">
      <w:pPr>
        <w:tabs>
          <w:tab w:val="left" w:pos="491"/>
        </w:tabs>
        <w:ind w:left="851"/>
        <w:rPr>
          <w:color w:val="2D74B5"/>
        </w:rPr>
      </w:pPr>
      <w:r w:rsidRPr="00886047">
        <w:rPr>
          <w:color w:val="2D74B5"/>
        </w:rPr>
        <w:t>Social</w:t>
      </w:r>
      <w:r w:rsidRPr="00D33E08">
        <w:rPr>
          <w:color w:val="2D74B5"/>
        </w:rPr>
        <w:t xml:space="preserve"> </w:t>
      </w:r>
      <w:r w:rsidRPr="00886047">
        <w:rPr>
          <w:color w:val="2D74B5"/>
        </w:rPr>
        <w:t>et</w:t>
      </w:r>
      <w:r w:rsidRPr="00D33E08">
        <w:rPr>
          <w:color w:val="2D74B5"/>
        </w:rPr>
        <w:t xml:space="preserve"> </w:t>
      </w:r>
      <w:r w:rsidRPr="00886047">
        <w:rPr>
          <w:color w:val="2D74B5"/>
        </w:rPr>
        <w:t>Humain</w:t>
      </w:r>
    </w:p>
    <w:p w14:paraId="12F06345" w14:textId="77777777" w:rsidR="00886047" w:rsidRDefault="00886047" w:rsidP="0027426F">
      <w:pPr>
        <w:spacing w:line="259" w:lineRule="auto"/>
        <w:jc w:val="both"/>
      </w:pPr>
    </w:p>
    <w:p w14:paraId="2B1D018B" w14:textId="77777777" w:rsidR="00886047" w:rsidRDefault="00886047" w:rsidP="00886047">
      <w:pPr>
        <w:pStyle w:val="Paragraphedeliste"/>
        <w:numPr>
          <w:ilvl w:val="2"/>
          <w:numId w:val="3"/>
        </w:numPr>
        <w:tabs>
          <w:tab w:val="left" w:pos="837"/>
        </w:tabs>
        <w:spacing w:before="91" w:line="259" w:lineRule="auto"/>
        <w:ind w:right="114"/>
        <w:jc w:val="both"/>
      </w:pPr>
      <w:r>
        <w:t>GO</w:t>
      </w:r>
      <w:r>
        <w:rPr>
          <w:spacing w:val="-5"/>
        </w:rPr>
        <w:t xml:space="preserve"> </w:t>
      </w:r>
      <w:r>
        <w:t>CAPITAL</w:t>
      </w:r>
      <w:r>
        <w:rPr>
          <w:spacing w:val="-3"/>
        </w:rPr>
        <w:t xml:space="preserve"> </w:t>
      </w:r>
      <w:r>
        <w:t>est</w:t>
      </w:r>
      <w:r>
        <w:rPr>
          <w:spacing w:val="-5"/>
        </w:rPr>
        <w:t xml:space="preserve"> </w:t>
      </w:r>
      <w:r>
        <w:t>convaincue</w:t>
      </w:r>
      <w:r>
        <w:rPr>
          <w:spacing w:val="-8"/>
        </w:rPr>
        <w:t xml:space="preserve"> </w:t>
      </w:r>
      <w:r>
        <w:t>que</w:t>
      </w:r>
      <w:r>
        <w:rPr>
          <w:spacing w:val="-4"/>
        </w:rPr>
        <w:t xml:space="preserve"> </w:t>
      </w:r>
      <w:r>
        <w:t>la</w:t>
      </w:r>
      <w:r>
        <w:rPr>
          <w:spacing w:val="-5"/>
        </w:rPr>
        <w:t xml:space="preserve"> </w:t>
      </w:r>
      <w:r>
        <w:t>gestion</w:t>
      </w:r>
      <w:r>
        <w:rPr>
          <w:spacing w:val="-6"/>
        </w:rPr>
        <w:t xml:space="preserve"> </w:t>
      </w:r>
      <w:r>
        <w:t>responsable</w:t>
      </w:r>
      <w:r>
        <w:rPr>
          <w:spacing w:val="-8"/>
        </w:rPr>
        <w:t xml:space="preserve"> </w:t>
      </w:r>
      <w:r>
        <w:t>des</w:t>
      </w:r>
      <w:r>
        <w:rPr>
          <w:spacing w:val="-2"/>
        </w:rPr>
        <w:t xml:space="preserve"> </w:t>
      </w:r>
      <w:r>
        <w:t>ressources</w:t>
      </w:r>
      <w:r>
        <w:rPr>
          <w:spacing w:val="-6"/>
        </w:rPr>
        <w:t xml:space="preserve"> </w:t>
      </w:r>
      <w:r>
        <w:t>humaines</w:t>
      </w:r>
      <w:r>
        <w:rPr>
          <w:spacing w:val="-3"/>
        </w:rPr>
        <w:t xml:space="preserve"> </w:t>
      </w:r>
      <w:r>
        <w:t>est</w:t>
      </w:r>
      <w:r>
        <w:rPr>
          <w:spacing w:val="-5"/>
        </w:rPr>
        <w:t xml:space="preserve"> </w:t>
      </w:r>
      <w:r>
        <w:t>un</w:t>
      </w:r>
      <w:r>
        <w:rPr>
          <w:spacing w:val="-6"/>
        </w:rPr>
        <w:t xml:space="preserve"> </w:t>
      </w:r>
      <w:r>
        <w:t>facteur</w:t>
      </w:r>
      <w:r>
        <w:rPr>
          <w:spacing w:val="-47"/>
        </w:rPr>
        <w:t xml:space="preserve"> </w:t>
      </w:r>
      <w:r>
        <w:rPr>
          <w:spacing w:val="-1"/>
        </w:rPr>
        <w:t>clé</w:t>
      </w:r>
      <w:r>
        <w:rPr>
          <w:spacing w:val="-10"/>
        </w:rPr>
        <w:t xml:space="preserve"> </w:t>
      </w:r>
      <w:r>
        <w:rPr>
          <w:spacing w:val="-1"/>
        </w:rPr>
        <w:t>du</w:t>
      </w:r>
      <w:r>
        <w:rPr>
          <w:spacing w:val="-9"/>
        </w:rPr>
        <w:t xml:space="preserve"> </w:t>
      </w:r>
      <w:r>
        <w:rPr>
          <w:spacing w:val="-1"/>
        </w:rPr>
        <w:t>succès</w:t>
      </w:r>
      <w:r>
        <w:rPr>
          <w:spacing w:val="-11"/>
        </w:rPr>
        <w:t xml:space="preserve"> </w:t>
      </w:r>
      <w:r>
        <w:rPr>
          <w:spacing w:val="-1"/>
        </w:rPr>
        <w:t>des</w:t>
      </w:r>
      <w:r>
        <w:rPr>
          <w:spacing w:val="-8"/>
        </w:rPr>
        <w:t xml:space="preserve"> </w:t>
      </w:r>
      <w:r>
        <w:rPr>
          <w:spacing w:val="-1"/>
        </w:rPr>
        <w:t>participations.</w:t>
      </w:r>
      <w:r>
        <w:rPr>
          <w:spacing w:val="-8"/>
        </w:rPr>
        <w:t xml:space="preserve"> </w:t>
      </w:r>
      <w:r>
        <w:t>Elle</w:t>
      </w:r>
      <w:r>
        <w:rPr>
          <w:spacing w:val="-10"/>
        </w:rPr>
        <w:t xml:space="preserve"> </w:t>
      </w:r>
      <w:r>
        <w:t>accorde</w:t>
      </w:r>
      <w:r>
        <w:rPr>
          <w:spacing w:val="-10"/>
        </w:rPr>
        <w:t xml:space="preserve"> </w:t>
      </w:r>
      <w:r>
        <w:t>une</w:t>
      </w:r>
      <w:r>
        <w:rPr>
          <w:spacing w:val="-12"/>
        </w:rPr>
        <w:t xml:space="preserve"> </w:t>
      </w:r>
      <w:r>
        <w:t>attention</w:t>
      </w:r>
      <w:r>
        <w:rPr>
          <w:spacing w:val="-9"/>
        </w:rPr>
        <w:t xml:space="preserve"> </w:t>
      </w:r>
      <w:r>
        <w:t>particulière</w:t>
      </w:r>
      <w:r>
        <w:rPr>
          <w:spacing w:val="-10"/>
        </w:rPr>
        <w:t xml:space="preserve"> </w:t>
      </w:r>
      <w:r>
        <w:t>aux</w:t>
      </w:r>
      <w:r>
        <w:rPr>
          <w:spacing w:val="-8"/>
        </w:rPr>
        <w:t xml:space="preserve"> </w:t>
      </w:r>
      <w:r>
        <w:t>conditions</w:t>
      </w:r>
      <w:r>
        <w:rPr>
          <w:spacing w:val="-8"/>
        </w:rPr>
        <w:t xml:space="preserve"> </w:t>
      </w:r>
      <w:r>
        <w:t>de</w:t>
      </w:r>
      <w:r>
        <w:rPr>
          <w:spacing w:val="-10"/>
        </w:rPr>
        <w:t xml:space="preserve"> </w:t>
      </w:r>
      <w:r>
        <w:t>travail</w:t>
      </w:r>
      <w:r>
        <w:rPr>
          <w:spacing w:val="-47"/>
        </w:rPr>
        <w:t xml:space="preserve"> </w:t>
      </w:r>
      <w:r>
        <w:t>au sein de ses participations (dialogue social, hygiène et sécurité, promotion de la diversité,</w:t>
      </w:r>
      <w:r>
        <w:rPr>
          <w:spacing w:val="1"/>
        </w:rPr>
        <w:t xml:space="preserve"> </w:t>
      </w:r>
      <w:r>
        <w:t>lutte</w:t>
      </w:r>
      <w:r>
        <w:rPr>
          <w:spacing w:val="-2"/>
        </w:rPr>
        <w:t xml:space="preserve"> </w:t>
      </w:r>
      <w:r>
        <w:t>contre</w:t>
      </w:r>
      <w:r>
        <w:rPr>
          <w:spacing w:val="-1"/>
        </w:rPr>
        <w:t xml:space="preserve"> </w:t>
      </w:r>
      <w:r>
        <w:t>le</w:t>
      </w:r>
      <w:r>
        <w:rPr>
          <w:spacing w:val="-1"/>
        </w:rPr>
        <w:t xml:space="preserve"> </w:t>
      </w:r>
      <w:r>
        <w:t>harcèlement</w:t>
      </w:r>
      <w:r>
        <w:rPr>
          <w:spacing w:val="-3"/>
        </w:rPr>
        <w:t xml:space="preserve"> </w:t>
      </w:r>
      <w:r>
        <w:t>et</w:t>
      </w:r>
      <w:r>
        <w:rPr>
          <w:spacing w:val="-1"/>
        </w:rPr>
        <w:t xml:space="preserve"> </w:t>
      </w:r>
      <w:r>
        <w:t>les</w:t>
      </w:r>
      <w:r>
        <w:rPr>
          <w:spacing w:val="1"/>
        </w:rPr>
        <w:t xml:space="preserve"> </w:t>
      </w:r>
      <w:r>
        <w:t>discriminations,</w:t>
      </w:r>
      <w:r>
        <w:rPr>
          <w:spacing w:val="1"/>
        </w:rPr>
        <w:t xml:space="preserve"> </w:t>
      </w:r>
      <w:r>
        <w:t>etc…).</w:t>
      </w:r>
    </w:p>
    <w:p w14:paraId="2825AC73" w14:textId="77777777" w:rsidR="00886047" w:rsidRDefault="00886047" w:rsidP="0027426F">
      <w:pPr>
        <w:spacing w:line="259" w:lineRule="auto"/>
        <w:jc w:val="both"/>
      </w:pPr>
    </w:p>
    <w:p w14:paraId="16A1D22C" w14:textId="03E2849F" w:rsidR="00886047" w:rsidRDefault="00886047" w:rsidP="00D33E08">
      <w:pPr>
        <w:tabs>
          <w:tab w:val="left" w:pos="491"/>
        </w:tabs>
        <w:ind w:left="851"/>
        <w:rPr>
          <w:color w:val="2D74B5"/>
        </w:rPr>
      </w:pPr>
      <w:r>
        <w:rPr>
          <w:color w:val="2D74B5"/>
        </w:rPr>
        <w:t>Règles de bonne Gouvernance :</w:t>
      </w:r>
    </w:p>
    <w:p w14:paraId="25BB9B77" w14:textId="77777777" w:rsidR="00886047" w:rsidRDefault="00886047" w:rsidP="0027426F">
      <w:pPr>
        <w:spacing w:line="259" w:lineRule="auto"/>
        <w:jc w:val="both"/>
        <w:rPr>
          <w:color w:val="2D74B5"/>
        </w:rPr>
      </w:pPr>
    </w:p>
    <w:p w14:paraId="6DD4E580" w14:textId="41DC4B67" w:rsidR="00886047" w:rsidRDefault="00886047" w:rsidP="00886047">
      <w:pPr>
        <w:pStyle w:val="Paragraphedeliste"/>
        <w:numPr>
          <w:ilvl w:val="2"/>
          <w:numId w:val="3"/>
        </w:numPr>
        <w:tabs>
          <w:tab w:val="left" w:pos="837"/>
        </w:tabs>
        <w:spacing w:line="259" w:lineRule="auto"/>
        <w:ind w:right="113"/>
        <w:jc w:val="both"/>
      </w:pPr>
      <w:r>
        <w:t>Avant chaque investissement, la gouvernance de la société cible est revue quand cela est</w:t>
      </w:r>
      <w:r>
        <w:rPr>
          <w:spacing w:val="1"/>
        </w:rPr>
        <w:t xml:space="preserve"> </w:t>
      </w:r>
      <w:r>
        <w:t>nécessaire pour mettre en place un Conseil d’Administration ou d’un Comité Stratégique</w:t>
      </w:r>
      <w:r>
        <w:rPr>
          <w:spacing w:val="1"/>
        </w:rPr>
        <w:t xml:space="preserve"> </w:t>
      </w:r>
      <w:r>
        <w:t>composé d’experts, fondateurs et investisseurs. Notre société de gestion fait également la</w:t>
      </w:r>
      <w:r>
        <w:rPr>
          <w:spacing w:val="1"/>
        </w:rPr>
        <w:t xml:space="preserve"> </w:t>
      </w:r>
      <w:r>
        <w:t>promotion du bien fondé d’engager un membre indépendant au sein de l’organe décisionnel</w:t>
      </w:r>
      <w:r>
        <w:rPr>
          <w:spacing w:val="1"/>
        </w:rPr>
        <w:t xml:space="preserve"> </w:t>
      </w:r>
      <w:r>
        <w:t>des participations.</w:t>
      </w:r>
    </w:p>
    <w:p w14:paraId="48B1784F" w14:textId="77777777" w:rsidR="00886047" w:rsidRDefault="00886047" w:rsidP="00886047">
      <w:pPr>
        <w:tabs>
          <w:tab w:val="left" w:pos="837"/>
        </w:tabs>
        <w:spacing w:line="259" w:lineRule="auto"/>
        <w:ind w:right="113"/>
      </w:pPr>
    </w:p>
    <w:p w14:paraId="7972E670" w14:textId="77777777" w:rsidR="00886047" w:rsidRDefault="00886047" w:rsidP="00886047">
      <w:pPr>
        <w:pStyle w:val="Paragraphedeliste"/>
        <w:numPr>
          <w:ilvl w:val="2"/>
          <w:numId w:val="3"/>
        </w:numPr>
        <w:tabs>
          <w:tab w:val="left" w:pos="837"/>
        </w:tabs>
        <w:spacing w:line="259" w:lineRule="auto"/>
        <w:ind w:right="112"/>
        <w:jc w:val="both"/>
      </w:pPr>
      <w:r>
        <w:t>GO CAPITAL veille au respect de la réglementation relative à la lutte contre le blanchiment</w:t>
      </w:r>
      <w:r>
        <w:rPr>
          <w:spacing w:val="1"/>
        </w:rPr>
        <w:t xml:space="preserve"> </w:t>
      </w:r>
      <w:r>
        <w:t>d’argent, la corruption et le financement du terrorisme au sein de la société de gestion et dans</w:t>
      </w:r>
      <w:r>
        <w:rPr>
          <w:spacing w:val="-48"/>
        </w:rPr>
        <w:t xml:space="preserve"> </w:t>
      </w:r>
      <w:r>
        <w:t>les entreprises</w:t>
      </w:r>
      <w:r>
        <w:rPr>
          <w:spacing w:val="1"/>
        </w:rPr>
        <w:t xml:space="preserve"> </w:t>
      </w:r>
      <w:r>
        <w:t>qu’elle</w:t>
      </w:r>
      <w:r>
        <w:rPr>
          <w:spacing w:val="-1"/>
        </w:rPr>
        <w:t xml:space="preserve"> </w:t>
      </w:r>
      <w:r>
        <w:t>accompagne.</w:t>
      </w:r>
    </w:p>
    <w:p w14:paraId="47FF50C8" w14:textId="77777777" w:rsidR="00886047" w:rsidRDefault="00886047" w:rsidP="00886047">
      <w:pPr>
        <w:pStyle w:val="Corpsdetexte"/>
        <w:spacing w:before="9"/>
        <w:rPr>
          <w:sz w:val="23"/>
        </w:rPr>
      </w:pPr>
    </w:p>
    <w:p w14:paraId="28CAF514" w14:textId="77777777" w:rsidR="00886047" w:rsidRDefault="00886047" w:rsidP="00886047">
      <w:pPr>
        <w:pStyle w:val="Paragraphedeliste"/>
        <w:numPr>
          <w:ilvl w:val="2"/>
          <w:numId w:val="3"/>
        </w:numPr>
        <w:tabs>
          <w:tab w:val="left" w:pos="837"/>
        </w:tabs>
        <w:spacing w:line="259" w:lineRule="auto"/>
        <w:ind w:right="116"/>
        <w:jc w:val="both"/>
      </w:pPr>
      <w:r>
        <w:t>Les reportings aux investisseurs fournis par la société de gestion sont destinés à promouvoir la</w:t>
      </w:r>
      <w:r>
        <w:rPr>
          <w:spacing w:val="-47"/>
        </w:rPr>
        <w:t xml:space="preserve"> </w:t>
      </w:r>
      <w:r>
        <w:t>transparence,</w:t>
      </w:r>
      <w:r>
        <w:rPr>
          <w:spacing w:val="-1"/>
        </w:rPr>
        <w:t xml:space="preserve"> </w:t>
      </w:r>
      <w:r>
        <w:t>en</w:t>
      </w:r>
      <w:r>
        <w:rPr>
          <w:spacing w:val="-3"/>
        </w:rPr>
        <w:t xml:space="preserve"> </w:t>
      </w:r>
      <w:r>
        <w:t>particulier</w:t>
      </w:r>
      <w:r>
        <w:rPr>
          <w:spacing w:val="-3"/>
        </w:rPr>
        <w:t xml:space="preserve"> </w:t>
      </w:r>
      <w:r>
        <w:t>sur l’impact</w:t>
      </w:r>
      <w:r>
        <w:rPr>
          <w:spacing w:val="-1"/>
        </w:rPr>
        <w:t xml:space="preserve"> </w:t>
      </w:r>
      <w:r>
        <w:t>économique</w:t>
      </w:r>
      <w:r>
        <w:rPr>
          <w:spacing w:val="-2"/>
        </w:rPr>
        <w:t xml:space="preserve"> </w:t>
      </w:r>
      <w:r>
        <w:t>et</w:t>
      </w:r>
      <w:r>
        <w:rPr>
          <w:spacing w:val="-1"/>
        </w:rPr>
        <w:t xml:space="preserve"> </w:t>
      </w:r>
      <w:r>
        <w:t>social</w:t>
      </w:r>
      <w:r>
        <w:rPr>
          <w:spacing w:val="-2"/>
        </w:rPr>
        <w:t xml:space="preserve"> </w:t>
      </w:r>
      <w:r>
        <w:t>de</w:t>
      </w:r>
      <w:r>
        <w:rPr>
          <w:spacing w:val="-2"/>
        </w:rPr>
        <w:t xml:space="preserve"> </w:t>
      </w:r>
      <w:r>
        <w:t>ses</w:t>
      </w:r>
      <w:r>
        <w:rPr>
          <w:spacing w:val="-1"/>
        </w:rPr>
        <w:t xml:space="preserve"> </w:t>
      </w:r>
      <w:r>
        <w:t>investissements.</w:t>
      </w:r>
    </w:p>
    <w:p w14:paraId="4C5F7FF9" w14:textId="77777777" w:rsidR="00886047" w:rsidRDefault="00886047" w:rsidP="0027426F">
      <w:pPr>
        <w:spacing w:line="259" w:lineRule="auto"/>
        <w:jc w:val="both"/>
      </w:pPr>
    </w:p>
    <w:p w14:paraId="25A7982B" w14:textId="77777777" w:rsidR="00886047" w:rsidRDefault="00886047" w:rsidP="0027426F">
      <w:pPr>
        <w:spacing w:line="259" w:lineRule="auto"/>
        <w:jc w:val="both"/>
      </w:pPr>
    </w:p>
    <w:p w14:paraId="1AD7FA2B" w14:textId="5A064B01" w:rsidR="00D33E08" w:rsidRDefault="00886047" w:rsidP="0016742B">
      <w:pPr>
        <w:pStyle w:val="Paragraphedeliste"/>
        <w:spacing w:line="256" w:lineRule="auto"/>
        <w:ind w:left="426" w:right="112" w:firstLine="0"/>
        <w:jc w:val="both"/>
        <w:rPr>
          <w:color w:val="4F81BD" w:themeColor="accent1"/>
        </w:rPr>
      </w:pPr>
      <w:r w:rsidRPr="00886047">
        <w:rPr>
          <w:color w:val="4F81BD" w:themeColor="accent1"/>
        </w:rPr>
        <w:t>Nous</w:t>
      </w:r>
      <w:r w:rsidRPr="00886047">
        <w:rPr>
          <w:color w:val="4F81BD" w:themeColor="accent1"/>
          <w:spacing w:val="-7"/>
        </w:rPr>
        <w:t xml:space="preserve"> </w:t>
      </w:r>
      <w:r w:rsidRPr="00886047">
        <w:rPr>
          <w:color w:val="4F81BD" w:themeColor="accent1"/>
        </w:rPr>
        <w:t>remettons</w:t>
      </w:r>
      <w:r w:rsidRPr="00886047">
        <w:rPr>
          <w:color w:val="4F81BD" w:themeColor="accent1"/>
          <w:spacing w:val="-6"/>
        </w:rPr>
        <w:t xml:space="preserve"> </w:t>
      </w:r>
      <w:r w:rsidRPr="00886047">
        <w:rPr>
          <w:color w:val="4F81BD" w:themeColor="accent1"/>
        </w:rPr>
        <w:t>un</w:t>
      </w:r>
      <w:r w:rsidRPr="00886047">
        <w:rPr>
          <w:color w:val="4F81BD" w:themeColor="accent1"/>
          <w:spacing w:val="-6"/>
        </w:rPr>
        <w:t xml:space="preserve"> </w:t>
      </w:r>
      <w:r w:rsidRPr="00886047">
        <w:rPr>
          <w:color w:val="4F81BD" w:themeColor="accent1"/>
        </w:rPr>
        <w:t>livret</w:t>
      </w:r>
      <w:r w:rsidRPr="00886047">
        <w:rPr>
          <w:color w:val="4F81BD" w:themeColor="accent1"/>
          <w:spacing w:val="-7"/>
        </w:rPr>
        <w:t xml:space="preserve"> </w:t>
      </w:r>
      <w:r w:rsidRPr="00886047">
        <w:rPr>
          <w:color w:val="4F81BD" w:themeColor="accent1"/>
        </w:rPr>
        <w:t>de</w:t>
      </w:r>
      <w:r w:rsidRPr="00886047">
        <w:rPr>
          <w:color w:val="4F81BD" w:themeColor="accent1"/>
          <w:spacing w:val="-9"/>
        </w:rPr>
        <w:t xml:space="preserve"> </w:t>
      </w:r>
      <w:r w:rsidRPr="00886047">
        <w:rPr>
          <w:color w:val="4F81BD" w:themeColor="accent1"/>
        </w:rPr>
        <w:t>bienvenue</w:t>
      </w:r>
      <w:r w:rsidRPr="00886047">
        <w:rPr>
          <w:color w:val="4F81BD" w:themeColor="accent1"/>
          <w:spacing w:val="-8"/>
        </w:rPr>
        <w:t xml:space="preserve"> </w:t>
      </w:r>
      <w:r w:rsidRPr="00886047">
        <w:rPr>
          <w:color w:val="4F81BD" w:themeColor="accent1"/>
        </w:rPr>
        <w:t>à</w:t>
      </w:r>
      <w:r w:rsidRPr="00886047">
        <w:rPr>
          <w:color w:val="4F81BD" w:themeColor="accent1"/>
          <w:spacing w:val="-7"/>
        </w:rPr>
        <w:t xml:space="preserve"> </w:t>
      </w:r>
      <w:r w:rsidRPr="00886047">
        <w:rPr>
          <w:color w:val="4F81BD" w:themeColor="accent1"/>
        </w:rPr>
        <w:t>chaque</w:t>
      </w:r>
      <w:r w:rsidRPr="00886047">
        <w:rPr>
          <w:color w:val="4F81BD" w:themeColor="accent1"/>
          <w:spacing w:val="-8"/>
        </w:rPr>
        <w:t xml:space="preserve"> </w:t>
      </w:r>
      <w:r w:rsidRPr="00886047">
        <w:rPr>
          <w:color w:val="4F81BD" w:themeColor="accent1"/>
        </w:rPr>
        <w:t>nouvelle</w:t>
      </w:r>
      <w:r w:rsidRPr="00886047">
        <w:rPr>
          <w:color w:val="4F81BD" w:themeColor="accent1"/>
          <w:spacing w:val="-8"/>
        </w:rPr>
        <w:t xml:space="preserve"> </w:t>
      </w:r>
      <w:r w:rsidRPr="00886047">
        <w:rPr>
          <w:color w:val="4F81BD" w:themeColor="accent1"/>
        </w:rPr>
        <w:t>participation</w:t>
      </w:r>
      <w:r w:rsidRPr="00886047">
        <w:rPr>
          <w:color w:val="4F81BD" w:themeColor="accent1"/>
          <w:spacing w:val="-6"/>
        </w:rPr>
        <w:t xml:space="preserve"> </w:t>
      </w:r>
      <w:r w:rsidRPr="00886047">
        <w:rPr>
          <w:color w:val="4F81BD" w:themeColor="accent1"/>
        </w:rPr>
        <w:t>dans</w:t>
      </w:r>
      <w:r w:rsidRPr="00886047">
        <w:rPr>
          <w:color w:val="4F81BD" w:themeColor="accent1"/>
          <w:spacing w:val="-7"/>
        </w:rPr>
        <w:t xml:space="preserve"> </w:t>
      </w:r>
      <w:r w:rsidRPr="00886047">
        <w:rPr>
          <w:color w:val="4F81BD" w:themeColor="accent1"/>
        </w:rPr>
        <w:t>lequel</w:t>
      </w:r>
      <w:r w:rsidRPr="00886047">
        <w:rPr>
          <w:color w:val="4F81BD" w:themeColor="accent1"/>
          <w:spacing w:val="-7"/>
        </w:rPr>
        <w:t xml:space="preserve"> </w:t>
      </w:r>
      <w:r w:rsidRPr="00886047">
        <w:rPr>
          <w:color w:val="4F81BD" w:themeColor="accent1"/>
        </w:rPr>
        <w:t>des</w:t>
      </w:r>
      <w:r w:rsidRPr="00886047">
        <w:rPr>
          <w:color w:val="4F81BD" w:themeColor="accent1"/>
          <w:spacing w:val="-6"/>
        </w:rPr>
        <w:t xml:space="preserve"> </w:t>
      </w:r>
      <w:r w:rsidRPr="00886047">
        <w:rPr>
          <w:color w:val="4F81BD" w:themeColor="accent1"/>
        </w:rPr>
        <w:t>bonnes</w:t>
      </w:r>
      <w:r w:rsidRPr="00886047">
        <w:rPr>
          <w:color w:val="4F81BD" w:themeColor="accent1"/>
          <w:spacing w:val="-47"/>
        </w:rPr>
        <w:t xml:space="preserve"> </w:t>
      </w:r>
      <w:r w:rsidRPr="00886047">
        <w:rPr>
          <w:color w:val="4F81BD" w:themeColor="accent1"/>
        </w:rPr>
        <w:t>pratiques</w:t>
      </w:r>
      <w:r w:rsidRPr="00886047">
        <w:rPr>
          <w:color w:val="4F81BD" w:themeColor="accent1"/>
          <w:spacing w:val="1"/>
        </w:rPr>
        <w:t xml:space="preserve"> </w:t>
      </w:r>
      <w:r w:rsidRPr="00886047">
        <w:rPr>
          <w:color w:val="4F81BD" w:themeColor="accent1"/>
        </w:rPr>
        <w:t>RSE</w:t>
      </w:r>
      <w:r w:rsidRPr="00886047">
        <w:rPr>
          <w:color w:val="4F81BD" w:themeColor="accent1"/>
          <w:spacing w:val="1"/>
        </w:rPr>
        <w:t xml:space="preserve"> </w:t>
      </w:r>
      <w:r w:rsidRPr="00886047">
        <w:rPr>
          <w:color w:val="4F81BD" w:themeColor="accent1"/>
        </w:rPr>
        <w:t>relatives</w:t>
      </w:r>
      <w:r w:rsidRPr="00886047">
        <w:rPr>
          <w:color w:val="4F81BD" w:themeColor="accent1"/>
          <w:spacing w:val="1"/>
        </w:rPr>
        <w:t xml:space="preserve"> </w:t>
      </w:r>
      <w:r w:rsidRPr="00886047">
        <w:rPr>
          <w:color w:val="4F81BD" w:themeColor="accent1"/>
        </w:rPr>
        <w:t>à</w:t>
      </w:r>
      <w:r w:rsidRPr="00886047">
        <w:rPr>
          <w:color w:val="4F81BD" w:themeColor="accent1"/>
          <w:spacing w:val="1"/>
        </w:rPr>
        <w:t xml:space="preserve"> </w:t>
      </w:r>
      <w:r w:rsidRPr="00886047">
        <w:rPr>
          <w:color w:val="4F81BD" w:themeColor="accent1"/>
        </w:rPr>
        <w:t>son</w:t>
      </w:r>
      <w:r w:rsidRPr="00886047">
        <w:rPr>
          <w:color w:val="4F81BD" w:themeColor="accent1"/>
          <w:spacing w:val="1"/>
        </w:rPr>
        <w:t xml:space="preserve"> </w:t>
      </w:r>
      <w:r w:rsidRPr="00886047">
        <w:rPr>
          <w:color w:val="4F81BD" w:themeColor="accent1"/>
        </w:rPr>
        <w:t>secteur</w:t>
      </w:r>
      <w:r w:rsidRPr="00886047">
        <w:rPr>
          <w:color w:val="4F81BD" w:themeColor="accent1"/>
          <w:spacing w:val="1"/>
        </w:rPr>
        <w:t xml:space="preserve"> </w:t>
      </w:r>
      <w:r w:rsidRPr="00886047">
        <w:rPr>
          <w:color w:val="4F81BD" w:themeColor="accent1"/>
        </w:rPr>
        <w:t>sont</w:t>
      </w:r>
      <w:r w:rsidRPr="00886047">
        <w:rPr>
          <w:color w:val="4F81BD" w:themeColor="accent1"/>
          <w:spacing w:val="1"/>
        </w:rPr>
        <w:t xml:space="preserve"> </w:t>
      </w:r>
      <w:r w:rsidRPr="00886047">
        <w:rPr>
          <w:color w:val="4F81BD" w:themeColor="accent1"/>
        </w:rPr>
        <w:t>proposées.</w:t>
      </w:r>
      <w:r w:rsidRPr="00886047">
        <w:rPr>
          <w:color w:val="4F81BD" w:themeColor="accent1"/>
          <w:spacing w:val="1"/>
        </w:rPr>
        <w:t xml:space="preserve"> </w:t>
      </w:r>
      <w:r w:rsidRPr="00886047">
        <w:rPr>
          <w:color w:val="4F81BD" w:themeColor="accent1"/>
        </w:rPr>
        <w:t>Nous</w:t>
      </w:r>
      <w:r w:rsidRPr="00886047">
        <w:rPr>
          <w:color w:val="4F81BD" w:themeColor="accent1"/>
          <w:spacing w:val="1"/>
        </w:rPr>
        <w:t xml:space="preserve"> </w:t>
      </w:r>
      <w:r w:rsidRPr="00886047">
        <w:rPr>
          <w:color w:val="4F81BD" w:themeColor="accent1"/>
        </w:rPr>
        <w:t>incitons</w:t>
      </w:r>
      <w:r w:rsidRPr="00886047">
        <w:rPr>
          <w:color w:val="4F81BD" w:themeColor="accent1"/>
          <w:spacing w:val="1"/>
        </w:rPr>
        <w:t xml:space="preserve"> </w:t>
      </w:r>
      <w:r w:rsidRPr="00886047">
        <w:rPr>
          <w:color w:val="4F81BD" w:themeColor="accent1"/>
        </w:rPr>
        <w:t>également</w:t>
      </w:r>
      <w:r w:rsidRPr="00886047">
        <w:rPr>
          <w:color w:val="4F81BD" w:themeColor="accent1"/>
          <w:spacing w:val="1"/>
        </w:rPr>
        <w:t xml:space="preserve"> </w:t>
      </w:r>
      <w:r w:rsidRPr="00886047">
        <w:rPr>
          <w:color w:val="4F81BD" w:themeColor="accent1"/>
        </w:rPr>
        <w:t>nos</w:t>
      </w:r>
      <w:r w:rsidRPr="00886047">
        <w:rPr>
          <w:color w:val="4F81BD" w:themeColor="accent1"/>
          <w:spacing w:val="1"/>
        </w:rPr>
        <w:t xml:space="preserve"> </w:t>
      </w:r>
      <w:r w:rsidRPr="00886047">
        <w:rPr>
          <w:color w:val="4F81BD" w:themeColor="accent1"/>
        </w:rPr>
        <w:t>participations à mettre en œuvre des mesures de réduction des GES et des</w:t>
      </w:r>
      <w:r w:rsidRPr="00886047">
        <w:rPr>
          <w:color w:val="4F81BD" w:themeColor="accent1"/>
          <w:spacing w:val="1"/>
        </w:rPr>
        <w:t xml:space="preserve"> </w:t>
      </w:r>
      <w:r w:rsidRPr="00886047">
        <w:rPr>
          <w:color w:val="4F81BD" w:themeColor="accent1"/>
        </w:rPr>
        <w:t>initiatives visant à</w:t>
      </w:r>
      <w:r w:rsidRPr="00886047">
        <w:rPr>
          <w:color w:val="4F81BD" w:themeColor="accent1"/>
          <w:spacing w:val="-2"/>
        </w:rPr>
        <w:t xml:space="preserve"> </w:t>
      </w:r>
      <w:r w:rsidRPr="00886047">
        <w:rPr>
          <w:color w:val="4F81BD" w:themeColor="accent1"/>
        </w:rPr>
        <w:t>réduire</w:t>
      </w:r>
      <w:r w:rsidRPr="00886047">
        <w:rPr>
          <w:color w:val="4F81BD" w:themeColor="accent1"/>
          <w:spacing w:val="-1"/>
        </w:rPr>
        <w:t xml:space="preserve"> </w:t>
      </w:r>
      <w:r w:rsidRPr="00886047">
        <w:rPr>
          <w:color w:val="4F81BD" w:themeColor="accent1"/>
        </w:rPr>
        <w:t>leur</w:t>
      </w:r>
      <w:r w:rsidRPr="00886047">
        <w:rPr>
          <w:color w:val="4F81BD" w:themeColor="accent1"/>
          <w:spacing w:val="1"/>
        </w:rPr>
        <w:t xml:space="preserve"> </w:t>
      </w:r>
      <w:r w:rsidRPr="00886047">
        <w:rPr>
          <w:color w:val="4F81BD" w:themeColor="accent1"/>
        </w:rPr>
        <w:t>empreinte</w:t>
      </w:r>
      <w:r w:rsidRPr="00886047">
        <w:rPr>
          <w:color w:val="4F81BD" w:themeColor="accent1"/>
          <w:spacing w:val="-2"/>
        </w:rPr>
        <w:t xml:space="preserve"> </w:t>
      </w:r>
      <w:r w:rsidRPr="00886047">
        <w:rPr>
          <w:color w:val="4F81BD" w:themeColor="accent1"/>
        </w:rPr>
        <w:t>environnementale.</w:t>
      </w:r>
      <w:r w:rsidR="0016742B">
        <w:rPr>
          <w:color w:val="4F81BD" w:themeColor="accent1"/>
        </w:rPr>
        <w:t xml:space="preserve"> </w:t>
      </w:r>
      <w:r w:rsidR="00D33E08" w:rsidRPr="00D33E08">
        <w:rPr>
          <w:color w:val="4F81BD" w:themeColor="accent1"/>
        </w:rPr>
        <w:t xml:space="preserve">Des mesures d’accompagnement </w:t>
      </w:r>
      <w:r w:rsidR="00D33E08">
        <w:rPr>
          <w:color w:val="4F81BD" w:themeColor="accent1"/>
        </w:rPr>
        <w:t xml:space="preserve">sont </w:t>
      </w:r>
      <w:r w:rsidR="00D33E08" w:rsidRPr="00D33E08">
        <w:rPr>
          <w:color w:val="4F81BD" w:themeColor="accent1"/>
        </w:rPr>
        <w:t>déployées</w:t>
      </w:r>
      <w:r w:rsidR="00D33E08">
        <w:rPr>
          <w:color w:val="4F81BD" w:themeColor="accent1"/>
        </w:rPr>
        <w:t xml:space="preserve"> tout au long de la relation avec les participations :</w:t>
      </w:r>
    </w:p>
    <w:p w14:paraId="48653653" w14:textId="60961576" w:rsidR="0016742B" w:rsidRDefault="00D33E08" w:rsidP="0016742B">
      <w:pPr>
        <w:pStyle w:val="Paragraphedeliste"/>
        <w:tabs>
          <w:tab w:val="left" w:pos="837"/>
        </w:tabs>
        <w:spacing w:before="164"/>
        <w:ind w:left="426" w:firstLine="0"/>
        <w:rPr>
          <w:color w:val="4F81BD" w:themeColor="accent1"/>
        </w:rPr>
      </w:pPr>
      <w:r>
        <w:rPr>
          <w:color w:val="4F81BD" w:themeColor="accent1"/>
        </w:rPr>
        <w:t xml:space="preserve">- </w:t>
      </w:r>
      <w:r w:rsidRPr="00D33E08">
        <w:rPr>
          <w:color w:val="4F81BD" w:themeColor="accent1"/>
        </w:rPr>
        <w:t>Intégration d’un groupe CEO ESG avec une réunion annuelle</w:t>
      </w:r>
      <w:r>
        <w:rPr>
          <w:color w:val="4F81BD" w:themeColor="accent1"/>
        </w:rPr>
        <w:t xml:space="preserve"> (si </w:t>
      </w:r>
      <w:r w:rsidRPr="00D33E08">
        <w:rPr>
          <w:color w:val="4F81BD" w:themeColor="accent1"/>
        </w:rPr>
        <w:t xml:space="preserve">besoin, accompagnement d’un intervenant ESG pour </w:t>
      </w:r>
      <w:r w:rsidR="0016742B">
        <w:rPr>
          <w:color w:val="4F81BD" w:themeColor="accent1"/>
        </w:rPr>
        <w:t>accompagnement et déploiement du pl</w:t>
      </w:r>
      <w:r w:rsidRPr="00D33E08">
        <w:rPr>
          <w:color w:val="4F81BD" w:themeColor="accent1"/>
        </w:rPr>
        <w:t xml:space="preserve">an </w:t>
      </w:r>
      <w:r w:rsidR="0016742B" w:rsidRPr="00D33E08">
        <w:rPr>
          <w:color w:val="4F81BD" w:themeColor="accent1"/>
        </w:rPr>
        <w:t>ESG)</w:t>
      </w:r>
    </w:p>
    <w:p w14:paraId="397F877B" w14:textId="2823E256" w:rsidR="0016742B" w:rsidRPr="00D33E08" w:rsidRDefault="0016742B" w:rsidP="0016742B">
      <w:pPr>
        <w:pStyle w:val="Paragraphedeliste"/>
        <w:tabs>
          <w:tab w:val="left" w:pos="837"/>
        </w:tabs>
        <w:spacing w:before="164"/>
        <w:ind w:left="426" w:firstLine="0"/>
        <w:rPr>
          <w:color w:val="4F81BD" w:themeColor="accent1"/>
        </w:rPr>
      </w:pPr>
      <w:r>
        <w:rPr>
          <w:color w:val="4F81BD" w:themeColor="accent1"/>
        </w:rPr>
        <w:t xml:space="preserve">- </w:t>
      </w:r>
      <w:r w:rsidRPr="00D33E08">
        <w:rPr>
          <w:color w:val="4F81BD" w:themeColor="accent1"/>
        </w:rPr>
        <w:t>Intégration au moins une fois par an au sein de l’organe décisionnel de la société d’un bilan ESG sur l’année et d’une présentation des objectifs (en la matière) sur l’année à venir</w:t>
      </w:r>
    </w:p>
    <w:p w14:paraId="0AA4F11E" w14:textId="77777777" w:rsidR="0016742B" w:rsidRDefault="0016742B" w:rsidP="0016742B">
      <w:pPr>
        <w:pStyle w:val="Paragraphedeliste"/>
        <w:tabs>
          <w:tab w:val="left" w:pos="837"/>
        </w:tabs>
        <w:spacing w:before="164"/>
        <w:ind w:left="426" w:firstLine="0"/>
        <w:rPr>
          <w:color w:val="4F81BD" w:themeColor="accent1"/>
        </w:rPr>
      </w:pPr>
    </w:p>
    <w:p w14:paraId="5E285509" w14:textId="77777777" w:rsidR="0027426F" w:rsidRDefault="0027426F" w:rsidP="0027426F">
      <w:pPr>
        <w:widowControl/>
        <w:autoSpaceDE/>
        <w:autoSpaceDN/>
        <w:jc w:val="both"/>
      </w:pPr>
    </w:p>
    <w:p w14:paraId="5532320D" w14:textId="77777777" w:rsidR="0027426F" w:rsidRPr="0027426F" w:rsidRDefault="0027426F" w:rsidP="0027426F">
      <w:pPr>
        <w:widowControl/>
        <w:autoSpaceDE/>
        <w:autoSpaceDN/>
        <w:jc w:val="both"/>
        <w:rPr>
          <w:color w:val="4F81BD" w:themeColor="accent1"/>
        </w:rPr>
      </w:pPr>
    </w:p>
    <w:p w14:paraId="2A4DAF53" w14:textId="3AB3DCFB" w:rsidR="0016742B" w:rsidRDefault="0016742B" w:rsidP="0016742B">
      <w:pPr>
        <w:widowControl/>
        <w:autoSpaceDE/>
        <w:autoSpaceDN/>
        <w:jc w:val="both"/>
        <w:rPr>
          <w:color w:val="4F81BD" w:themeColor="accent1"/>
        </w:rPr>
      </w:pPr>
      <w:r>
        <w:rPr>
          <w:color w:val="4F81BD" w:themeColor="accent1"/>
        </w:rPr>
        <w:t xml:space="preserve">La qualité </w:t>
      </w:r>
      <w:r w:rsidRPr="0027426F">
        <w:rPr>
          <w:color w:val="4F81BD" w:themeColor="accent1"/>
        </w:rPr>
        <w:t xml:space="preserve">des </w:t>
      </w:r>
      <w:r>
        <w:rPr>
          <w:color w:val="4F81BD" w:themeColor="accent1"/>
        </w:rPr>
        <w:t>reporting :</w:t>
      </w:r>
    </w:p>
    <w:p w14:paraId="008819A5" w14:textId="77777777" w:rsidR="0016742B" w:rsidRDefault="0016742B" w:rsidP="0016742B">
      <w:pPr>
        <w:widowControl/>
        <w:autoSpaceDE/>
        <w:autoSpaceDN/>
        <w:jc w:val="both"/>
        <w:rPr>
          <w:color w:val="4F81BD" w:themeColor="accent1"/>
        </w:rPr>
      </w:pPr>
    </w:p>
    <w:p w14:paraId="59095B07" w14:textId="636527F1" w:rsidR="008F1444" w:rsidRDefault="0016742B" w:rsidP="00920598">
      <w:pPr>
        <w:widowControl/>
        <w:autoSpaceDE/>
        <w:autoSpaceDN/>
        <w:jc w:val="both"/>
      </w:pPr>
      <w:r>
        <w:rPr>
          <w:color w:val="4F81BD" w:themeColor="accent1"/>
        </w:rPr>
        <w:t xml:space="preserve">GO CAPITAL s’appuie sur </w:t>
      </w:r>
      <w:r w:rsidR="008F1444" w:rsidRPr="00920598">
        <w:rPr>
          <w:color w:val="4F81BD" w:themeColor="accent1"/>
        </w:rPr>
        <w:t>outil d'analyse ESG</w:t>
      </w:r>
      <w:r w:rsidR="00920598">
        <w:rPr>
          <w:color w:val="4F81BD" w:themeColor="accent1"/>
        </w:rPr>
        <w:t xml:space="preserve"> </w:t>
      </w:r>
      <w:r w:rsidR="008F1444" w:rsidRPr="00920598">
        <w:t xml:space="preserve">développé en vue de faciliter la collecte de données, l’analyse, ainsi </w:t>
      </w:r>
      <w:r w:rsidR="008F1444" w:rsidRPr="008F1444">
        <w:t>que le suivi</w:t>
      </w:r>
      <w:r w:rsidR="00920598">
        <w:t>. Le suivi</w:t>
      </w:r>
      <w:r w:rsidR="008F1444" w:rsidRPr="008F1444">
        <w:t xml:space="preserve"> et complété, lorsque cela est nécessaire ou pertinent pour une société cible spécifique, par des recherches et des données externes ou, le cas échéant, par les analyses ESG effectuées par les sociétés cibles elles-mêmes ;</w:t>
      </w:r>
    </w:p>
    <w:p w14:paraId="719BCE66" w14:textId="77777777" w:rsidR="0027426F" w:rsidRDefault="0027426F" w:rsidP="00920598">
      <w:pPr>
        <w:widowControl/>
        <w:autoSpaceDE/>
        <w:autoSpaceDN/>
        <w:jc w:val="both"/>
      </w:pPr>
    </w:p>
    <w:p w14:paraId="55C179C2" w14:textId="66FBB14D" w:rsidR="00D33E08" w:rsidRPr="006B6090" w:rsidRDefault="006B6090" w:rsidP="0027426F">
      <w:pPr>
        <w:widowControl/>
        <w:autoSpaceDE/>
        <w:autoSpaceDN/>
        <w:jc w:val="both"/>
      </w:pPr>
      <w:r>
        <w:rPr>
          <w:color w:val="4F81BD" w:themeColor="accent1"/>
        </w:rPr>
        <w:t xml:space="preserve">Le </w:t>
      </w:r>
      <w:r w:rsidR="0016742B">
        <w:rPr>
          <w:color w:val="4F81BD" w:themeColor="accent1"/>
        </w:rPr>
        <w:t>R</w:t>
      </w:r>
      <w:r w:rsidR="008F1444" w:rsidRPr="0027426F">
        <w:rPr>
          <w:color w:val="4F81BD" w:themeColor="accent1"/>
        </w:rPr>
        <w:t xml:space="preserve">apport </w:t>
      </w:r>
      <w:r w:rsidR="0016742B">
        <w:rPr>
          <w:color w:val="4F81BD" w:themeColor="accent1"/>
        </w:rPr>
        <w:t xml:space="preserve">ESG </w:t>
      </w:r>
      <w:r w:rsidR="0016742B" w:rsidRPr="006B6090">
        <w:t xml:space="preserve">qui reprend </w:t>
      </w:r>
      <w:r w:rsidRPr="006B6090">
        <w:t xml:space="preserve">chaque année </w:t>
      </w:r>
      <w:r w:rsidR="0016742B" w:rsidRPr="006B6090">
        <w:t>la synthèse</w:t>
      </w:r>
      <w:r w:rsidRPr="006B6090">
        <w:t xml:space="preserve"> des données collectées auprès des participations et l’évolution des mesures prises en faveur de l’Environnement, le Social et la Gouvernance</w:t>
      </w:r>
      <w:r>
        <w:t xml:space="preserve"> (disponible sur le site).</w:t>
      </w:r>
    </w:p>
    <w:p w14:paraId="2675DCA2" w14:textId="77777777" w:rsidR="00D33E08" w:rsidRDefault="00D33E08" w:rsidP="0027426F">
      <w:pPr>
        <w:widowControl/>
        <w:autoSpaceDE/>
        <w:autoSpaceDN/>
        <w:jc w:val="both"/>
      </w:pPr>
    </w:p>
    <w:p w14:paraId="33B3B633" w14:textId="3D96B655" w:rsidR="008F1444" w:rsidRDefault="00D33E08" w:rsidP="0027426F">
      <w:pPr>
        <w:widowControl/>
        <w:autoSpaceDE/>
        <w:autoSpaceDN/>
        <w:jc w:val="both"/>
      </w:pPr>
      <w:r w:rsidRPr="00D33E08">
        <w:rPr>
          <w:color w:val="4F81BD" w:themeColor="accent1"/>
        </w:rPr>
        <w:t xml:space="preserve">Un rapport annuel extra-financier </w:t>
      </w:r>
      <w:r>
        <w:t>dans le cadre de l’application du Règlement SFDR « </w:t>
      </w:r>
      <w:r w:rsidRPr="00D33E08">
        <w:t>Sustainable finance disclosure regulation »</w:t>
      </w:r>
      <w:r>
        <w:t xml:space="preserve"> ou </w:t>
      </w:r>
      <w:r w:rsidRPr="00D33E08">
        <w:t>Règlement (UE) 2019/2088 du Parlement Européen et du Conseil du 27 novembre 2019 sur la publication d’informations en matière de durabilité dans le secteur des services financier</w:t>
      </w:r>
      <w:r w:rsidR="006B6090">
        <w:t>s</w:t>
      </w:r>
      <w:r w:rsidR="0033061D">
        <w:t>.</w:t>
      </w:r>
    </w:p>
    <w:p w14:paraId="5A7263B7" w14:textId="77777777" w:rsidR="0027426F" w:rsidRDefault="0027426F" w:rsidP="0027426F">
      <w:pPr>
        <w:widowControl/>
        <w:autoSpaceDE/>
        <w:autoSpaceDN/>
        <w:jc w:val="both"/>
        <w:rPr>
          <w:sz w:val="20"/>
        </w:rPr>
      </w:pPr>
    </w:p>
    <w:p w14:paraId="0803FE80" w14:textId="77777777" w:rsidR="008F1444" w:rsidRDefault="008F1444">
      <w:pPr>
        <w:pStyle w:val="Corpsdetexte"/>
        <w:rPr>
          <w:sz w:val="20"/>
        </w:rPr>
      </w:pPr>
    </w:p>
    <w:sectPr w:rsidR="008F1444">
      <w:pgSz w:w="11910" w:h="16840"/>
      <w:pgMar w:top="1320" w:right="1300" w:bottom="280" w:left="13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1D4DC" w14:textId="77777777" w:rsidR="007B3C6A" w:rsidRDefault="007B3C6A">
      <w:r>
        <w:separator/>
      </w:r>
    </w:p>
  </w:endnote>
  <w:endnote w:type="continuationSeparator" w:id="0">
    <w:p w14:paraId="58308EBE" w14:textId="77777777" w:rsidR="007B3C6A" w:rsidRDefault="007B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BBF48" w14:textId="77777777" w:rsidR="007B3C6A" w:rsidRDefault="007B3C6A">
      <w:r>
        <w:separator/>
      </w:r>
    </w:p>
  </w:footnote>
  <w:footnote w:type="continuationSeparator" w:id="0">
    <w:p w14:paraId="4E992C26" w14:textId="77777777" w:rsidR="007B3C6A" w:rsidRDefault="007B3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14001" w14:textId="39ECC9A9" w:rsidR="00A6318D" w:rsidRDefault="00A6318D">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385E7C"/>
    <w:multiLevelType w:val="hybridMultilevel"/>
    <w:tmpl w:val="2AFA3D74"/>
    <w:lvl w:ilvl="0" w:tplc="FC40AC3C">
      <w:numFmt w:val="bullet"/>
      <w:lvlText w:val=""/>
      <w:lvlJc w:val="left"/>
      <w:pPr>
        <w:ind w:left="836" w:hanging="361"/>
      </w:pPr>
      <w:rPr>
        <w:rFonts w:ascii="Symbol" w:eastAsia="Symbol" w:hAnsi="Symbol" w:cs="Symbol" w:hint="default"/>
        <w:w w:val="100"/>
        <w:sz w:val="22"/>
        <w:szCs w:val="22"/>
        <w:lang w:val="fr-FR" w:eastAsia="en-US" w:bidi="ar-SA"/>
      </w:rPr>
    </w:lvl>
    <w:lvl w:ilvl="1" w:tplc="1DA803E6">
      <w:numFmt w:val="bullet"/>
      <w:lvlText w:val="•"/>
      <w:lvlJc w:val="left"/>
      <w:pPr>
        <w:ind w:left="1686" w:hanging="361"/>
      </w:pPr>
      <w:rPr>
        <w:rFonts w:hint="default"/>
        <w:lang w:val="fr-FR" w:eastAsia="en-US" w:bidi="ar-SA"/>
      </w:rPr>
    </w:lvl>
    <w:lvl w:ilvl="2" w:tplc="DD349378">
      <w:numFmt w:val="bullet"/>
      <w:lvlText w:val="•"/>
      <w:lvlJc w:val="left"/>
      <w:pPr>
        <w:ind w:left="2533" w:hanging="361"/>
      </w:pPr>
      <w:rPr>
        <w:rFonts w:hint="default"/>
        <w:lang w:val="fr-FR" w:eastAsia="en-US" w:bidi="ar-SA"/>
      </w:rPr>
    </w:lvl>
    <w:lvl w:ilvl="3" w:tplc="02C47248">
      <w:numFmt w:val="bullet"/>
      <w:lvlText w:val="•"/>
      <w:lvlJc w:val="left"/>
      <w:pPr>
        <w:ind w:left="3379" w:hanging="361"/>
      </w:pPr>
      <w:rPr>
        <w:rFonts w:hint="default"/>
        <w:lang w:val="fr-FR" w:eastAsia="en-US" w:bidi="ar-SA"/>
      </w:rPr>
    </w:lvl>
    <w:lvl w:ilvl="4" w:tplc="A2D68FDA">
      <w:numFmt w:val="bullet"/>
      <w:lvlText w:val="•"/>
      <w:lvlJc w:val="left"/>
      <w:pPr>
        <w:ind w:left="4226" w:hanging="361"/>
      </w:pPr>
      <w:rPr>
        <w:rFonts w:hint="default"/>
        <w:lang w:val="fr-FR" w:eastAsia="en-US" w:bidi="ar-SA"/>
      </w:rPr>
    </w:lvl>
    <w:lvl w:ilvl="5" w:tplc="22EAF5D0">
      <w:numFmt w:val="bullet"/>
      <w:lvlText w:val="•"/>
      <w:lvlJc w:val="left"/>
      <w:pPr>
        <w:ind w:left="5073" w:hanging="361"/>
      </w:pPr>
      <w:rPr>
        <w:rFonts w:hint="default"/>
        <w:lang w:val="fr-FR" w:eastAsia="en-US" w:bidi="ar-SA"/>
      </w:rPr>
    </w:lvl>
    <w:lvl w:ilvl="6" w:tplc="E0967378">
      <w:numFmt w:val="bullet"/>
      <w:lvlText w:val="•"/>
      <w:lvlJc w:val="left"/>
      <w:pPr>
        <w:ind w:left="5919" w:hanging="361"/>
      </w:pPr>
      <w:rPr>
        <w:rFonts w:hint="default"/>
        <w:lang w:val="fr-FR" w:eastAsia="en-US" w:bidi="ar-SA"/>
      </w:rPr>
    </w:lvl>
    <w:lvl w:ilvl="7" w:tplc="5288A634">
      <w:numFmt w:val="bullet"/>
      <w:lvlText w:val="•"/>
      <w:lvlJc w:val="left"/>
      <w:pPr>
        <w:ind w:left="6766" w:hanging="361"/>
      </w:pPr>
      <w:rPr>
        <w:rFonts w:hint="default"/>
        <w:lang w:val="fr-FR" w:eastAsia="en-US" w:bidi="ar-SA"/>
      </w:rPr>
    </w:lvl>
    <w:lvl w:ilvl="8" w:tplc="8FFE8DAA">
      <w:numFmt w:val="bullet"/>
      <w:lvlText w:val="•"/>
      <w:lvlJc w:val="left"/>
      <w:pPr>
        <w:ind w:left="7613" w:hanging="361"/>
      </w:pPr>
      <w:rPr>
        <w:rFonts w:hint="default"/>
        <w:lang w:val="fr-FR" w:eastAsia="en-US" w:bidi="ar-SA"/>
      </w:rPr>
    </w:lvl>
  </w:abstractNum>
  <w:abstractNum w:abstractNumId="1" w15:restartNumberingAfterBreak="0">
    <w:nsid w:val="381A6EA4"/>
    <w:multiLevelType w:val="hybridMultilevel"/>
    <w:tmpl w:val="86A6FE5C"/>
    <w:lvl w:ilvl="0" w:tplc="5F48DA90">
      <w:start w:val="1"/>
      <w:numFmt w:val="lowerRoman"/>
      <w:lvlText w:val="(%1)"/>
      <w:lvlJc w:val="left"/>
      <w:pPr>
        <w:ind w:left="2574" w:hanging="720"/>
      </w:pPr>
      <w:rPr>
        <w:rFonts w:hint="default"/>
      </w:rPr>
    </w:lvl>
    <w:lvl w:ilvl="1" w:tplc="040C0019" w:tentative="1">
      <w:start w:val="1"/>
      <w:numFmt w:val="lowerLetter"/>
      <w:lvlText w:val="%2."/>
      <w:lvlJc w:val="left"/>
      <w:pPr>
        <w:ind w:left="2934" w:hanging="360"/>
      </w:pPr>
    </w:lvl>
    <w:lvl w:ilvl="2" w:tplc="040C001B" w:tentative="1">
      <w:start w:val="1"/>
      <w:numFmt w:val="lowerRoman"/>
      <w:lvlText w:val="%3."/>
      <w:lvlJc w:val="right"/>
      <w:pPr>
        <w:ind w:left="3654" w:hanging="180"/>
      </w:pPr>
    </w:lvl>
    <w:lvl w:ilvl="3" w:tplc="040C000F" w:tentative="1">
      <w:start w:val="1"/>
      <w:numFmt w:val="decimal"/>
      <w:lvlText w:val="%4."/>
      <w:lvlJc w:val="left"/>
      <w:pPr>
        <w:ind w:left="4374" w:hanging="360"/>
      </w:pPr>
    </w:lvl>
    <w:lvl w:ilvl="4" w:tplc="040C0019" w:tentative="1">
      <w:start w:val="1"/>
      <w:numFmt w:val="lowerLetter"/>
      <w:lvlText w:val="%5."/>
      <w:lvlJc w:val="left"/>
      <w:pPr>
        <w:ind w:left="5094" w:hanging="360"/>
      </w:pPr>
    </w:lvl>
    <w:lvl w:ilvl="5" w:tplc="040C001B" w:tentative="1">
      <w:start w:val="1"/>
      <w:numFmt w:val="lowerRoman"/>
      <w:lvlText w:val="%6."/>
      <w:lvlJc w:val="right"/>
      <w:pPr>
        <w:ind w:left="5814" w:hanging="180"/>
      </w:pPr>
    </w:lvl>
    <w:lvl w:ilvl="6" w:tplc="040C000F" w:tentative="1">
      <w:start w:val="1"/>
      <w:numFmt w:val="decimal"/>
      <w:lvlText w:val="%7."/>
      <w:lvlJc w:val="left"/>
      <w:pPr>
        <w:ind w:left="6534" w:hanging="360"/>
      </w:pPr>
    </w:lvl>
    <w:lvl w:ilvl="7" w:tplc="040C0019" w:tentative="1">
      <w:start w:val="1"/>
      <w:numFmt w:val="lowerLetter"/>
      <w:lvlText w:val="%8."/>
      <w:lvlJc w:val="left"/>
      <w:pPr>
        <w:ind w:left="7254" w:hanging="360"/>
      </w:pPr>
    </w:lvl>
    <w:lvl w:ilvl="8" w:tplc="040C001B" w:tentative="1">
      <w:start w:val="1"/>
      <w:numFmt w:val="lowerRoman"/>
      <w:lvlText w:val="%9."/>
      <w:lvlJc w:val="right"/>
      <w:pPr>
        <w:ind w:left="7974" w:hanging="180"/>
      </w:pPr>
    </w:lvl>
  </w:abstractNum>
  <w:abstractNum w:abstractNumId="2" w15:restartNumberingAfterBreak="0">
    <w:nsid w:val="430F5E87"/>
    <w:multiLevelType w:val="multilevel"/>
    <w:tmpl w:val="B374F4E8"/>
    <w:lvl w:ilvl="0">
      <w:start w:val="1"/>
      <w:numFmt w:val="decimal"/>
      <w:lvlText w:val="%1."/>
      <w:lvlJc w:val="left"/>
      <w:pPr>
        <w:ind w:left="824" w:hanging="708"/>
        <w:jc w:val="right"/>
      </w:pPr>
      <w:rPr>
        <w:rFonts w:ascii="Calibri Light" w:eastAsia="Calibri Light" w:hAnsi="Calibri Light" w:cs="Calibri Light" w:hint="default"/>
        <w:color w:val="1B536B"/>
        <w:spacing w:val="-2"/>
        <w:w w:val="100"/>
        <w:sz w:val="22"/>
        <w:szCs w:val="22"/>
        <w:lang w:val="fr-FR" w:eastAsia="en-US" w:bidi="ar-SA"/>
      </w:rPr>
    </w:lvl>
    <w:lvl w:ilvl="1">
      <w:start w:val="1"/>
      <w:numFmt w:val="decimal"/>
      <w:lvlText w:val="%1.%2."/>
      <w:lvlJc w:val="left"/>
      <w:pPr>
        <w:ind w:left="492" w:hanging="377"/>
      </w:pPr>
      <w:rPr>
        <w:rFonts w:ascii="Calibri Light" w:eastAsia="Calibri Light" w:hAnsi="Calibri Light" w:cs="Calibri Light" w:hint="default"/>
        <w:color w:val="2D74B5"/>
        <w:spacing w:val="-2"/>
        <w:w w:val="100"/>
        <w:sz w:val="22"/>
        <w:szCs w:val="22"/>
        <w:lang w:val="fr-FR" w:eastAsia="en-US" w:bidi="ar-SA"/>
      </w:rPr>
    </w:lvl>
    <w:lvl w:ilvl="2">
      <w:numFmt w:val="bullet"/>
      <w:lvlText w:val=""/>
      <w:lvlJc w:val="left"/>
      <w:pPr>
        <w:ind w:left="836" w:hanging="361"/>
      </w:pPr>
      <w:rPr>
        <w:rFonts w:ascii="Symbol" w:eastAsia="Symbol" w:hAnsi="Symbol" w:cs="Symbol" w:hint="default"/>
        <w:w w:val="100"/>
        <w:sz w:val="22"/>
        <w:szCs w:val="22"/>
        <w:lang w:val="fr-FR" w:eastAsia="en-US" w:bidi="ar-SA"/>
      </w:rPr>
    </w:lvl>
    <w:lvl w:ilvl="3">
      <w:numFmt w:val="bullet"/>
      <w:lvlText w:val="•"/>
      <w:lvlJc w:val="left"/>
      <w:pPr>
        <w:ind w:left="880" w:hanging="361"/>
      </w:pPr>
      <w:rPr>
        <w:rFonts w:hint="default"/>
        <w:lang w:val="fr-FR" w:eastAsia="en-US" w:bidi="ar-SA"/>
      </w:rPr>
    </w:lvl>
    <w:lvl w:ilvl="4">
      <w:numFmt w:val="bullet"/>
      <w:lvlText w:val="•"/>
      <w:lvlJc w:val="left"/>
      <w:pPr>
        <w:ind w:left="2083" w:hanging="361"/>
      </w:pPr>
      <w:rPr>
        <w:rFonts w:hint="default"/>
        <w:lang w:val="fr-FR" w:eastAsia="en-US" w:bidi="ar-SA"/>
      </w:rPr>
    </w:lvl>
    <w:lvl w:ilvl="5">
      <w:numFmt w:val="bullet"/>
      <w:lvlText w:val="•"/>
      <w:lvlJc w:val="left"/>
      <w:pPr>
        <w:ind w:left="3287" w:hanging="361"/>
      </w:pPr>
      <w:rPr>
        <w:rFonts w:hint="default"/>
        <w:lang w:val="fr-FR" w:eastAsia="en-US" w:bidi="ar-SA"/>
      </w:rPr>
    </w:lvl>
    <w:lvl w:ilvl="6">
      <w:numFmt w:val="bullet"/>
      <w:lvlText w:val="•"/>
      <w:lvlJc w:val="left"/>
      <w:pPr>
        <w:ind w:left="4491" w:hanging="361"/>
      </w:pPr>
      <w:rPr>
        <w:rFonts w:hint="default"/>
        <w:lang w:val="fr-FR" w:eastAsia="en-US" w:bidi="ar-SA"/>
      </w:rPr>
    </w:lvl>
    <w:lvl w:ilvl="7">
      <w:numFmt w:val="bullet"/>
      <w:lvlText w:val="•"/>
      <w:lvlJc w:val="left"/>
      <w:pPr>
        <w:ind w:left="5695" w:hanging="361"/>
      </w:pPr>
      <w:rPr>
        <w:rFonts w:hint="default"/>
        <w:lang w:val="fr-FR" w:eastAsia="en-US" w:bidi="ar-SA"/>
      </w:rPr>
    </w:lvl>
    <w:lvl w:ilvl="8">
      <w:numFmt w:val="bullet"/>
      <w:lvlText w:val="•"/>
      <w:lvlJc w:val="left"/>
      <w:pPr>
        <w:ind w:left="6898" w:hanging="361"/>
      </w:pPr>
      <w:rPr>
        <w:rFonts w:hint="default"/>
        <w:lang w:val="fr-FR" w:eastAsia="en-US" w:bidi="ar-SA"/>
      </w:rPr>
    </w:lvl>
  </w:abstractNum>
  <w:abstractNum w:abstractNumId="3" w15:restartNumberingAfterBreak="0">
    <w:nsid w:val="5DEB4787"/>
    <w:multiLevelType w:val="hybridMultilevel"/>
    <w:tmpl w:val="A5263C86"/>
    <w:lvl w:ilvl="0" w:tplc="A7C23C8C">
      <w:numFmt w:val="bullet"/>
      <w:lvlText w:val="-"/>
      <w:lvlJc w:val="left"/>
      <w:pPr>
        <w:ind w:left="1494" w:hanging="360"/>
      </w:pPr>
      <w:rPr>
        <w:rFonts w:ascii="Arial" w:eastAsia="Arial" w:hAnsi="Arial" w:cs="Arial" w:hint="default"/>
        <w:b w:val="0"/>
        <w:bCs w:val="0"/>
        <w:i w:val="0"/>
        <w:iCs w:val="0"/>
        <w:w w:val="100"/>
        <w:sz w:val="22"/>
        <w:szCs w:val="22"/>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 w15:restartNumberingAfterBreak="0">
    <w:nsid w:val="74623700"/>
    <w:multiLevelType w:val="hybridMultilevel"/>
    <w:tmpl w:val="1AE88244"/>
    <w:lvl w:ilvl="0" w:tplc="55B4702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E0E226C"/>
    <w:multiLevelType w:val="hybridMultilevel"/>
    <w:tmpl w:val="765068F4"/>
    <w:lvl w:ilvl="0" w:tplc="E9AC0F84">
      <w:numFmt w:val="bullet"/>
      <w:lvlText w:val=""/>
      <w:lvlJc w:val="left"/>
      <w:pPr>
        <w:ind w:left="632" w:hanging="361"/>
      </w:pPr>
      <w:rPr>
        <w:rFonts w:ascii="Wingdings" w:eastAsia="Wingdings" w:hAnsi="Wingdings" w:cs="Wingdings" w:hint="default"/>
        <w:w w:val="100"/>
        <w:sz w:val="22"/>
        <w:szCs w:val="22"/>
        <w:lang w:val="fr-FR" w:eastAsia="en-US" w:bidi="ar-SA"/>
      </w:rPr>
    </w:lvl>
    <w:lvl w:ilvl="1" w:tplc="8690DA2E">
      <w:numFmt w:val="bullet"/>
      <w:lvlText w:val="•"/>
      <w:lvlJc w:val="left"/>
      <w:pPr>
        <w:ind w:left="1482" w:hanging="361"/>
      </w:pPr>
      <w:rPr>
        <w:rFonts w:hint="default"/>
        <w:lang w:val="fr-FR" w:eastAsia="en-US" w:bidi="ar-SA"/>
      </w:rPr>
    </w:lvl>
    <w:lvl w:ilvl="2" w:tplc="AC945142">
      <w:numFmt w:val="bullet"/>
      <w:lvlText w:val="•"/>
      <w:lvlJc w:val="left"/>
      <w:pPr>
        <w:ind w:left="2329" w:hanging="361"/>
      </w:pPr>
      <w:rPr>
        <w:rFonts w:hint="default"/>
        <w:lang w:val="fr-FR" w:eastAsia="en-US" w:bidi="ar-SA"/>
      </w:rPr>
    </w:lvl>
    <w:lvl w:ilvl="3" w:tplc="D88630D6">
      <w:numFmt w:val="bullet"/>
      <w:lvlText w:val="•"/>
      <w:lvlJc w:val="left"/>
      <w:pPr>
        <w:ind w:left="3175" w:hanging="361"/>
      </w:pPr>
      <w:rPr>
        <w:rFonts w:hint="default"/>
        <w:lang w:val="fr-FR" w:eastAsia="en-US" w:bidi="ar-SA"/>
      </w:rPr>
    </w:lvl>
    <w:lvl w:ilvl="4" w:tplc="0566650E">
      <w:numFmt w:val="bullet"/>
      <w:lvlText w:val="•"/>
      <w:lvlJc w:val="left"/>
      <w:pPr>
        <w:ind w:left="4022" w:hanging="361"/>
      </w:pPr>
      <w:rPr>
        <w:rFonts w:hint="default"/>
        <w:lang w:val="fr-FR" w:eastAsia="en-US" w:bidi="ar-SA"/>
      </w:rPr>
    </w:lvl>
    <w:lvl w:ilvl="5" w:tplc="5B42816E">
      <w:numFmt w:val="bullet"/>
      <w:lvlText w:val="•"/>
      <w:lvlJc w:val="left"/>
      <w:pPr>
        <w:ind w:left="4869" w:hanging="361"/>
      </w:pPr>
      <w:rPr>
        <w:rFonts w:hint="default"/>
        <w:lang w:val="fr-FR" w:eastAsia="en-US" w:bidi="ar-SA"/>
      </w:rPr>
    </w:lvl>
    <w:lvl w:ilvl="6" w:tplc="B85076DC">
      <w:numFmt w:val="bullet"/>
      <w:lvlText w:val="•"/>
      <w:lvlJc w:val="left"/>
      <w:pPr>
        <w:ind w:left="5715" w:hanging="361"/>
      </w:pPr>
      <w:rPr>
        <w:rFonts w:hint="default"/>
        <w:lang w:val="fr-FR" w:eastAsia="en-US" w:bidi="ar-SA"/>
      </w:rPr>
    </w:lvl>
    <w:lvl w:ilvl="7" w:tplc="36FA7534">
      <w:numFmt w:val="bullet"/>
      <w:lvlText w:val="•"/>
      <w:lvlJc w:val="left"/>
      <w:pPr>
        <w:ind w:left="6562" w:hanging="361"/>
      </w:pPr>
      <w:rPr>
        <w:rFonts w:hint="default"/>
        <w:lang w:val="fr-FR" w:eastAsia="en-US" w:bidi="ar-SA"/>
      </w:rPr>
    </w:lvl>
    <w:lvl w:ilvl="8" w:tplc="A9745494">
      <w:numFmt w:val="bullet"/>
      <w:lvlText w:val="•"/>
      <w:lvlJc w:val="left"/>
      <w:pPr>
        <w:ind w:left="7409" w:hanging="361"/>
      </w:pPr>
      <w:rPr>
        <w:rFonts w:hint="default"/>
        <w:lang w:val="fr-FR" w:eastAsia="en-US" w:bidi="ar-SA"/>
      </w:rPr>
    </w:lvl>
  </w:abstractNum>
  <w:num w:numId="1" w16cid:durableId="1334601119">
    <w:abstractNumId w:val="5"/>
  </w:num>
  <w:num w:numId="2" w16cid:durableId="1405101554">
    <w:abstractNumId w:val="0"/>
  </w:num>
  <w:num w:numId="3" w16cid:durableId="2060322145">
    <w:abstractNumId w:val="2"/>
  </w:num>
  <w:num w:numId="4" w16cid:durableId="1396197352">
    <w:abstractNumId w:val="1"/>
  </w:num>
  <w:num w:numId="5" w16cid:durableId="941185023">
    <w:abstractNumId w:val="3"/>
  </w:num>
  <w:num w:numId="6" w16cid:durableId="18626283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18D"/>
    <w:rsid w:val="0016742B"/>
    <w:rsid w:val="0027426F"/>
    <w:rsid w:val="002A3A17"/>
    <w:rsid w:val="002A4E2E"/>
    <w:rsid w:val="0033061D"/>
    <w:rsid w:val="0040292B"/>
    <w:rsid w:val="006B6090"/>
    <w:rsid w:val="007B3C6A"/>
    <w:rsid w:val="00886047"/>
    <w:rsid w:val="008F1444"/>
    <w:rsid w:val="00920598"/>
    <w:rsid w:val="00A6318D"/>
    <w:rsid w:val="00A75C90"/>
    <w:rsid w:val="00D33E08"/>
    <w:rsid w:val="00F60F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CE187"/>
  <w15:docId w15:val="{32EB5A86-3FF9-4BCB-97FD-E2B09279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lang w:val="fr-FR"/>
    </w:rPr>
  </w:style>
  <w:style w:type="paragraph" w:styleId="Titre2">
    <w:name w:val="heading 2"/>
    <w:basedOn w:val="Normal"/>
    <w:next w:val="Normal"/>
    <w:link w:val="Titre2Car"/>
    <w:uiPriority w:val="1"/>
    <w:qFormat/>
    <w:rsid w:val="008F1444"/>
    <w:pPr>
      <w:keepNext/>
      <w:autoSpaceDE/>
      <w:autoSpaceDN/>
      <w:jc w:val="both"/>
      <w:outlineLvl w:val="1"/>
    </w:pPr>
    <w:rPr>
      <w:rFonts w:ascii="Garamond" w:eastAsia="Times New Roman" w:hAnsi="Garamond" w:cs="Garamond"/>
      <w:b/>
      <w:bCs/>
      <w:cap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0"/>
    <w:qFormat/>
    <w:pPr>
      <w:spacing w:before="44"/>
      <w:ind w:left="3248" w:right="3248"/>
      <w:jc w:val="center"/>
    </w:pPr>
    <w:rPr>
      <w:sz w:val="28"/>
      <w:szCs w:val="28"/>
    </w:rPr>
  </w:style>
  <w:style w:type="paragraph" w:styleId="Paragraphedeliste">
    <w:name w:val="List Paragraph"/>
    <w:aliases w:val="Puce focus,Contact,texte de base,Normal 1,Sub Bullet,Bullet point_CMN,normal,chapitre,alinéa 1,6 pt paragraphe carré,Paragraphe de liste1,List Paragraph1,PADE_liste,List Paragraph"/>
    <w:basedOn w:val="Normal"/>
    <w:link w:val="ParagraphedelisteCar"/>
    <w:uiPriority w:val="1"/>
    <w:qFormat/>
    <w:pPr>
      <w:ind w:left="836" w:hanging="361"/>
    </w:pPr>
  </w:style>
  <w:style w:type="paragraph" w:customStyle="1" w:styleId="TableParagraph">
    <w:name w:val="Table Paragraph"/>
    <w:basedOn w:val="Normal"/>
    <w:uiPriority w:val="1"/>
    <w:qFormat/>
  </w:style>
  <w:style w:type="paragraph" w:styleId="Rvision">
    <w:name w:val="Revision"/>
    <w:hidden/>
    <w:uiPriority w:val="99"/>
    <w:semiHidden/>
    <w:rsid w:val="008F1444"/>
    <w:pPr>
      <w:widowControl/>
      <w:autoSpaceDE/>
      <w:autoSpaceDN/>
    </w:pPr>
    <w:rPr>
      <w:rFonts w:ascii="Calibri Light" w:eastAsia="Calibri Light" w:hAnsi="Calibri Light" w:cs="Calibri Light"/>
      <w:lang w:val="fr-FR"/>
    </w:rPr>
  </w:style>
  <w:style w:type="character" w:styleId="Marquedecommentaire">
    <w:name w:val="annotation reference"/>
    <w:basedOn w:val="Policepardfaut"/>
    <w:uiPriority w:val="99"/>
    <w:semiHidden/>
    <w:unhideWhenUsed/>
    <w:rsid w:val="008F1444"/>
    <w:rPr>
      <w:sz w:val="16"/>
      <w:szCs w:val="16"/>
    </w:rPr>
  </w:style>
  <w:style w:type="paragraph" w:styleId="Commentaire">
    <w:name w:val="annotation text"/>
    <w:basedOn w:val="Normal"/>
    <w:link w:val="CommentaireCar"/>
    <w:uiPriority w:val="99"/>
    <w:unhideWhenUsed/>
    <w:rsid w:val="008F1444"/>
    <w:rPr>
      <w:sz w:val="20"/>
      <w:szCs w:val="20"/>
    </w:rPr>
  </w:style>
  <w:style w:type="character" w:customStyle="1" w:styleId="CommentaireCar">
    <w:name w:val="Commentaire Car"/>
    <w:basedOn w:val="Policepardfaut"/>
    <w:link w:val="Commentaire"/>
    <w:uiPriority w:val="99"/>
    <w:rsid w:val="008F1444"/>
    <w:rPr>
      <w:rFonts w:ascii="Calibri Light" w:eastAsia="Calibri Light" w:hAnsi="Calibri Light" w:cs="Calibri Light"/>
      <w:sz w:val="20"/>
      <w:szCs w:val="20"/>
      <w:lang w:val="fr-FR"/>
    </w:rPr>
  </w:style>
  <w:style w:type="paragraph" w:styleId="Objetducommentaire">
    <w:name w:val="annotation subject"/>
    <w:basedOn w:val="Commentaire"/>
    <w:next w:val="Commentaire"/>
    <w:link w:val="ObjetducommentaireCar"/>
    <w:uiPriority w:val="99"/>
    <w:semiHidden/>
    <w:unhideWhenUsed/>
    <w:rsid w:val="008F1444"/>
    <w:rPr>
      <w:b/>
      <w:bCs/>
    </w:rPr>
  </w:style>
  <w:style w:type="character" w:customStyle="1" w:styleId="ObjetducommentaireCar">
    <w:name w:val="Objet du commentaire Car"/>
    <w:basedOn w:val="CommentaireCar"/>
    <w:link w:val="Objetducommentaire"/>
    <w:uiPriority w:val="99"/>
    <w:semiHidden/>
    <w:rsid w:val="008F1444"/>
    <w:rPr>
      <w:rFonts w:ascii="Calibri Light" w:eastAsia="Calibri Light" w:hAnsi="Calibri Light" w:cs="Calibri Light"/>
      <w:b/>
      <w:bCs/>
      <w:sz w:val="20"/>
      <w:szCs w:val="20"/>
      <w:lang w:val="fr-FR"/>
    </w:rPr>
  </w:style>
  <w:style w:type="character" w:customStyle="1" w:styleId="Titre2Car">
    <w:name w:val="Titre 2 Car"/>
    <w:basedOn w:val="Policepardfaut"/>
    <w:link w:val="Titre2"/>
    <w:uiPriority w:val="1"/>
    <w:rsid w:val="008F1444"/>
    <w:rPr>
      <w:rFonts w:ascii="Garamond" w:eastAsia="Times New Roman" w:hAnsi="Garamond" w:cs="Garamond"/>
      <w:b/>
      <w:bCs/>
      <w:caps/>
      <w:sz w:val="20"/>
      <w:szCs w:val="20"/>
      <w:lang w:val="fr-FR" w:eastAsia="fr-FR"/>
    </w:rPr>
  </w:style>
  <w:style w:type="character" w:customStyle="1" w:styleId="ParagraphedelisteCar">
    <w:name w:val="Paragraphe de liste Car"/>
    <w:aliases w:val="Puce focus Car,Contact Car,texte de base Car,Normal 1 Car,Sub Bullet Car,Bullet point_CMN Car,normal Car,chapitre Car,alinéa 1 Car,6 pt paragraphe carré Car,Paragraphe de liste1 Car,List Paragraph1 Car,PADE_liste Car"/>
    <w:basedOn w:val="Policepardfaut"/>
    <w:link w:val="Paragraphedeliste"/>
    <w:uiPriority w:val="1"/>
    <w:rsid w:val="008F1444"/>
    <w:rPr>
      <w:rFonts w:ascii="Calibri Light" w:eastAsia="Calibri Light" w:hAnsi="Calibri Light" w:cs="Calibri Light"/>
      <w:lang w:val="fr-FR"/>
    </w:rPr>
  </w:style>
  <w:style w:type="paragraph" w:styleId="En-tte">
    <w:name w:val="header"/>
    <w:basedOn w:val="Normal"/>
    <w:link w:val="En-tteCar"/>
    <w:uiPriority w:val="99"/>
    <w:unhideWhenUsed/>
    <w:rsid w:val="008F1444"/>
    <w:pPr>
      <w:tabs>
        <w:tab w:val="center" w:pos="4536"/>
        <w:tab w:val="right" w:pos="9072"/>
      </w:tabs>
    </w:pPr>
  </w:style>
  <w:style w:type="character" w:customStyle="1" w:styleId="En-tteCar">
    <w:name w:val="En-tête Car"/>
    <w:basedOn w:val="Policepardfaut"/>
    <w:link w:val="En-tte"/>
    <w:uiPriority w:val="99"/>
    <w:rsid w:val="008F1444"/>
    <w:rPr>
      <w:rFonts w:ascii="Calibri Light" w:eastAsia="Calibri Light" w:hAnsi="Calibri Light" w:cs="Calibri Light"/>
      <w:lang w:val="fr-FR"/>
    </w:rPr>
  </w:style>
  <w:style w:type="paragraph" w:styleId="Pieddepage">
    <w:name w:val="footer"/>
    <w:basedOn w:val="Normal"/>
    <w:link w:val="PieddepageCar"/>
    <w:uiPriority w:val="99"/>
    <w:unhideWhenUsed/>
    <w:rsid w:val="008F1444"/>
    <w:pPr>
      <w:tabs>
        <w:tab w:val="center" w:pos="4536"/>
        <w:tab w:val="right" w:pos="9072"/>
      </w:tabs>
    </w:pPr>
  </w:style>
  <w:style w:type="character" w:customStyle="1" w:styleId="PieddepageCar">
    <w:name w:val="Pied de page Car"/>
    <w:basedOn w:val="Policepardfaut"/>
    <w:link w:val="Pieddepage"/>
    <w:uiPriority w:val="99"/>
    <w:rsid w:val="008F1444"/>
    <w:rPr>
      <w:rFonts w:ascii="Calibri Light" w:eastAsia="Calibri Light" w:hAnsi="Calibri Light" w:cs="Calibri Light"/>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1282</Words>
  <Characters>7056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GARRAULT</dc:creator>
  <cp:lastModifiedBy>Jessica GROMB</cp:lastModifiedBy>
  <cp:revision>2</cp:revision>
  <dcterms:created xsi:type="dcterms:W3CDTF">2025-04-17T07:09:00Z</dcterms:created>
  <dcterms:modified xsi:type="dcterms:W3CDTF">2025-04-17T07:09:00Z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2020-11-30T00:00:00Z</vt:filetime>
  </property>
  <property fmtid="{D5CDD505-2E9C-101B-9397-08002B2CF9AE}" pid="3" name="Creator">
    <vt:lpwstr>Acrobat PDFMaker 20 pour Word</vt:lpwstr>
  </property>
  <property fmtid="{D5CDD505-2E9C-101B-9397-08002B2CF9AE}" pid="4" name="LastSaved">
    <vt:filetime>2023-06-16T00:00:00Z</vt:filetime>
  </property>
</Properties>
</file>